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before="0" w:line="269" w:lineRule="auto"/>
      </w:pPr>
      <w:r>
        <w:rPr>
          <w:rFonts w:ascii="Inter" w:hAnsi="Inter"/>
          <w:b/>
          <w:color w:val="9AA3B8"/>
          <w:sz w:val="17"/>
        </w:rPr>
        <w:t>01 / CORPORATE MERK</w:t>
      </w:r>
    </w:p>
    <w:p>
      <w:pPr>
        <w:pStyle w:val="Heading1"/>
        <w:spacing w:after="120" w:before="0" w:line="269" w:lineRule="auto"/>
      </w:pPr>
      <w:r>
        <w:rPr>
          <w:rFonts w:ascii="Inter" w:hAnsi="Inter"/>
          <w:b/>
          <w:color w:val="0B1F3A"/>
          <w:sz w:val="48"/>
        </w:rPr>
        <w:t>SALAR Software</w:t>
      </w:r>
    </w:p>
    <w:p>
      <w:pPr>
        <w:spacing w:after="140" w:before="0" w:line="269" w:lineRule="auto"/>
      </w:pPr>
      <w:r>
        <w:rPr>
          <w:rFonts w:ascii="Inter" w:hAnsi="Inter"/>
          <w:b w:val="0"/>
          <w:color w:val="475569"/>
          <w:sz w:val="21"/>
        </w:rPr>
        <w:t>De corporate afzender van de SALAR-familie. Het eigen woordmerk en het S-beeldmerk blijven herkenbaar.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FFFFFF"/>
          <w:left w:val="nil" w:sz="4" w:color="FFFFFF"/>
          <w:bottom w:val="nil" w:sz="4" w:color="FFFFFF"/>
          <w:right w:val="nil" w:sz="4" w:color="FFFFFF"/>
          <w:insideH w:val="nil" w:sz="4" w:color="FFFFFF"/>
          <w:insideV w:val="nil" w:sz="4" w:color="FFFFFF"/>
        </w:tblBorders>
      </w:tblPr>
      <w:tblGrid>
        <w:gridCol w:w="9468"/>
        <w:gridCol w:w="5669"/>
      </w:tblGrid>
      <w:tr>
        <w:trPr>
          <w:cantSplit/>
        </w:trPr>
        <w:tc>
          <w:tcPr>
            <w:tcW w:type="dxa" w:w="9468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/>
            </w:pPr>
          </w:p>
          <w:p>
            <w:pPr>
              <w:spacing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796000" cy="1601824"/>
                  <wp:docPr id="1" name="Picture 1" descr="SALAR Software hoofdlogo met payoff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LAR_Software_hoofdlogo_op_licht_2048px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96000" cy="160182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669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70" w:type="dxa"/>
              <w:start w:w="80" w:type="dxa"/>
              <w:bottom w:w="70" w:type="dxa"/>
              <w:end w:w="80" w:type="dxa"/>
            </w:tcMar>
            <w:shd w:fill="EAF4FF"/>
            <w:tcMar>
              <w:top w:w="200" w:type="dxa"/>
              <w:start w:w="220" w:type="dxa"/>
              <w:bottom w:w="200" w:type="dxa"/>
              <w:end w:w="220" w:type="dxa"/>
            </w:tcMar>
          </w:tcPr>
          <w:p>
            <w:pPr>
              <w:spacing w:after="140" w:line="264" w:lineRule="auto"/>
            </w:pPr>
            <w:r>
              <w:rPr>
                <w:rFonts w:ascii="Inter" w:hAnsi="Inter"/>
                <w:b/>
                <w:color w:val="0B1F3A"/>
                <w:sz w:val="22"/>
              </w:rPr>
              <w:t>Vaste visuele elementen</w:t>
            </w:r>
          </w:p>
          <w:p>
            <w:pPr>
              <w:spacing w:after="140" w:line="264" w:lineRule="auto"/>
            </w:pPr>
            <w:r>
              <w:rPr>
                <w:rFonts w:ascii="Inter" w:hAnsi="Inter"/>
                <w:b w:val="0"/>
                <w:color w:val="0B1F3A"/>
                <w:sz w:val="21"/>
              </w:rPr>
              <w:t>Het bestaande salar.software-woordbeeld met de streep/punt-markering en de software-aanduiding.</w:t>
            </w:r>
          </w:p>
          <w:p>
            <w:pPr>
              <w:spacing w:after="140" w:line="264" w:lineRule="auto"/>
            </w:pPr>
            <w:r>
              <w:rPr>
                <w:rFonts w:ascii="Inter" w:hAnsi="Inter"/>
                <w:b w:val="0"/>
                <w:color w:val="0B1F3A"/>
                <w:sz w:val="21"/>
              </w:rPr>
              <w:t>De markering is navy, niet blauw. In de diapositieve versie wordt zij wit, net als salar.</w:t>
            </w:r>
          </w:p>
          <w:p>
            <w:pPr>
              <w:spacing w:after="80" w:line="264" w:lineRule="auto"/>
            </w:pPr>
            <w:r>
              <w:rPr>
                <w:rFonts w:ascii="Inter" w:hAnsi="Inter"/>
                <w:b w:val="0"/>
                <w:color w:val="0B1F3A"/>
                <w:sz w:val="21"/>
              </w:rPr>
              <w:t>Het S-beeldmerk blijft een eigen herkenningsteken; geen Payroll Engine-symbool toevoegen.</w:t>
            </w:r>
          </w:p>
        </w:tc>
      </w:tr>
    </w:tbl>
    <w:p>
      <w:pPr>
        <w:pStyle w:val="Heading2"/>
        <w:spacing w:after="100" w:before="120" w:line="269" w:lineRule="auto"/>
      </w:pPr>
      <w:r>
        <w:rPr>
          <w:rFonts w:ascii="Inter" w:hAnsi="Inter"/>
          <w:b/>
          <w:color w:val="2563EB"/>
          <w:sz w:val="24"/>
        </w:rPr>
        <w:t>Varianten voor dagelijks gebruik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FFFFFF"/>
          <w:left w:val="nil" w:sz="4" w:color="FFFFFF"/>
          <w:bottom w:val="nil" w:sz="4" w:color="FFFFFF"/>
          <w:right w:val="nil" w:sz="4" w:color="FFFFFF"/>
          <w:insideH w:val="nil" w:sz="4" w:color="FFFFFF"/>
          <w:insideV w:val="nil" w:sz="4" w:color="FFFFFF"/>
        </w:tblBorders>
      </w:tblPr>
      <w:tblGrid>
        <w:gridCol w:w="5046"/>
        <w:gridCol w:w="5046"/>
        <w:gridCol w:w="5046"/>
      </w:tblGrid>
      <w:tr>
        <w:trPr>
          <w:cantSplit/>
        </w:trPr>
        <w:tc>
          <w:tcPr>
            <w:tcW w:type="dxa" w:w="5046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40" w:type="dxa"/>
              <w:start w:w="80" w:type="dxa"/>
              <w:bottom w:w="50" w:type="dxa"/>
              <w:end w:w="80" w:type="dxa"/>
            </w:tcMar>
          </w:tcPr>
          <w:p>
            <w:pPr>
              <w:spacing w:after="0"/>
            </w:pPr>
          </w:p>
          <w:p>
            <w:pPr>
              <w:spacing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041999" cy="701086"/>
                  <wp:docPr id="2" name="Picture 2" descr="SALAR Software Compact / zonder payoff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LAR_Software_compact_op_licht_2048px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1999" cy="70108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0" w:line="264" w:lineRule="auto"/>
              <w:jc w:val="center"/>
            </w:pPr>
            <w:r>
              <w:rPr>
                <w:rFonts w:ascii="Inter" w:hAnsi="Inter"/>
                <w:b w:val="0"/>
                <w:color w:val="475569"/>
                <w:sz w:val="18"/>
              </w:rPr>
              <w:t>Compact / zonder payoff</w:t>
            </w:r>
          </w:p>
        </w:tc>
        <w:tc>
          <w:tcPr>
            <w:tcW w:type="dxa" w:w="5046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40" w:type="dxa"/>
              <w:start w:w="80" w:type="dxa"/>
              <w:bottom w:w="50" w:type="dxa"/>
              <w:end w:w="80" w:type="dxa"/>
            </w:tcMar>
          </w:tcPr>
          <w:p>
            <w:pPr>
              <w:spacing w:after="0"/>
            </w:pPr>
          </w:p>
          <w:p>
            <w:pPr>
              <w:spacing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041999" cy="701086"/>
                  <wp:docPr id="3" name="Picture 3" descr="SALAR Software Licht logo / donkere ondergrond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LAR_Software_compact_op_donker_2048px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1999" cy="70108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0" w:line="264" w:lineRule="auto"/>
              <w:jc w:val="center"/>
            </w:pPr>
            <w:r>
              <w:rPr>
                <w:rFonts w:ascii="Inter" w:hAnsi="Inter"/>
                <w:b w:val="0"/>
                <w:color w:val="475569"/>
                <w:sz w:val="18"/>
              </w:rPr>
              <w:t>Licht logo / donkere ondergrond</w:t>
            </w:r>
          </w:p>
        </w:tc>
        <w:tc>
          <w:tcPr>
            <w:tcW w:type="dxa" w:w="5046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40" w:type="dxa"/>
              <w:start w:w="80" w:type="dxa"/>
              <w:bottom w:w="50" w:type="dxa"/>
              <w:end w:w="80" w:type="dxa"/>
            </w:tcMar>
          </w:tcPr>
          <w:p>
            <w:pPr>
              <w:spacing w:after="0"/>
            </w:pPr>
          </w:p>
          <w:p>
            <w:pPr>
              <w:spacing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041999" cy="701086"/>
                  <wp:docPr id="4" name="Picture 4" descr="SALAR Software Eenkleurig / navy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LAR_Software_compact_mono_navy_2048px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1999" cy="70108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0" w:line="264" w:lineRule="auto"/>
              <w:jc w:val="center"/>
            </w:pPr>
            <w:r>
              <w:rPr>
                <w:rFonts w:ascii="Inter" w:hAnsi="Inter"/>
                <w:b w:val="0"/>
                <w:color w:val="475569"/>
                <w:sz w:val="18"/>
              </w:rPr>
              <w:t>Eenkleurig / navy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FFFFFF"/>
          <w:left w:val="nil" w:sz="4" w:color="FFFFFF"/>
          <w:bottom w:val="nil" w:sz="4" w:color="FFFFFF"/>
          <w:right w:val="nil" w:sz="4" w:color="FFFFFF"/>
          <w:insideH w:val="nil" w:sz="4" w:color="FFFFFF"/>
          <w:insideV w:val="nil" w:sz="4" w:color="FFFFFF"/>
        </w:tblBorders>
      </w:tblPr>
      <w:tblGrid>
        <w:gridCol w:w="2891"/>
        <w:gridCol w:w="2891"/>
        <w:gridCol w:w="9354"/>
      </w:tblGrid>
      <w:tr>
        <w:trPr>
          <w:cantSplit/>
        </w:trPr>
        <w:tc>
          <w:tcPr>
            <w:tcW w:type="dxa" w:w="2891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after="0"/>
            </w:pPr>
          </w:p>
          <w:p>
            <w:pPr>
              <w:spacing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80000" cy="1101621"/>
                  <wp:docPr id="5" name="Picture 5" descr="SALAR Software los beeldmerk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LAR_Software_beeldmerk_op_licht_2048px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10162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891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after="0"/>
            </w:pPr>
          </w:p>
          <w:p>
            <w:pPr>
              <w:spacing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54000" cy="954000"/>
                  <wp:docPr id="6" name="Picture 6" descr="SALAR Software appicoon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LAR_Software_appicoon_op_licht_2048px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4000" cy="95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54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after="80" w:line="264" w:lineRule="auto"/>
            </w:pPr>
            <w:r>
              <w:rPr>
                <w:rFonts w:ascii="Inter" w:hAnsi="Inter"/>
                <w:b/>
                <w:color w:val="0B1F3A"/>
                <w:sz w:val="22"/>
              </w:rPr>
              <w:t>Eenzelfde familie, een eigen herkenning</w:t>
            </w:r>
          </w:p>
          <w:p>
            <w:pPr>
              <w:spacing w:after="120" w:line="264" w:lineRule="auto"/>
            </w:pPr>
            <w:r>
              <w:rPr>
                <w:rFonts w:ascii="Inter" w:hAnsi="Inter"/>
                <w:b w:val="0"/>
                <w:color w:val="0B1F3A"/>
                <w:sz w:val="21"/>
              </w:rPr>
              <w:t>De samenhang met SALAR Payroll Engine zit in het navy/blauwe palet, Inter als communicatietypografie en rustige toepassingen. Het corporate merk en het product krijgen niet hetzelfde beeldmerk.</w:t>
            </w:r>
          </w:p>
          <w:p>
            <w:pPr>
              <w:spacing w:after="80" w:line="264" w:lineRule="auto"/>
            </w:pPr>
            <w:r>
              <w:rPr>
                <w:rFonts w:ascii="Inter" w:hAnsi="Inter"/>
                <w:b w:val="0"/>
                <w:color w:val="475569"/>
                <w:sz w:val="21"/>
              </w:rPr>
              <w:t>Ook opgenomen: een gestapelde uitvoering, een producttegel, monochrome versies in navy, zwart en wit, en faviconbestanden.</w:t>
            </w:r>
          </w:p>
        </w:tc>
      </w:tr>
    </w:tbl>
    <w:p>
      <w:pPr>
        <w:spacing w:after="0" w:before="60" w:line="269" w:lineRule="auto"/>
      </w:pPr>
      <w:r>
        <w:rPr>
          <w:rFonts w:ascii="Inter" w:hAnsi="Inter"/>
          <w:b w:val="0"/>
          <w:color w:val="9AA3B8"/>
          <w:sz w:val="17"/>
        </w:rPr>
        <w:t>Status: vectorreconstructie op basis van de aangeleverde beelden. Nieuwe samenstellingen en genormaliseerde kleurverlopen zijn in deze richtlijn vastgelegd.</w:t>
      </w:r>
    </w:p>
    <w:p>
      <w:pPr>
        <w:pageBreakBefore/>
        <w:spacing w:after="80" w:before="0" w:line="269" w:lineRule="auto"/>
      </w:pPr>
      <w:r>
        <w:rPr>
          <w:rFonts w:ascii="Inter" w:hAnsi="Inter"/>
          <w:b/>
          <w:color w:val="9AA3B8"/>
          <w:sz w:val="17"/>
        </w:rPr>
        <w:t>02 / GEZAMENLIJKE BASIS</w:t>
      </w:r>
    </w:p>
    <w:p>
      <w:pPr>
        <w:pStyle w:val="Heading1"/>
        <w:spacing w:after="120" w:before="0" w:line="269" w:lineRule="auto"/>
      </w:pPr>
      <w:r>
        <w:rPr>
          <w:rFonts w:ascii="Inter" w:hAnsi="Inter"/>
          <w:b/>
          <w:color w:val="0B1F3A"/>
          <w:sz w:val="48"/>
        </w:rPr>
        <w:t>Kleur &amp; typografie</w:t>
      </w:r>
    </w:p>
    <w:p>
      <w:pPr>
        <w:spacing w:after="100" w:before="0" w:line="269" w:lineRule="auto"/>
      </w:pPr>
      <w:r>
        <w:rPr>
          <w:rFonts w:ascii="Inter" w:hAnsi="Inter"/>
          <w:b w:val="0"/>
          <w:color w:val="475569"/>
          <w:sz w:val="21"/>
        </w:rPr>
        <w:t>Het vastgelegde palet uit de eerdere SALAR-richtlijn is leidend. De kleuren zijn niet op het oog uit een schermvoorbeeld geschat.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FFFFFF"/>
          <w:left w:val="nil" w:sz="4" w:color="FFFFFF"/>
          <w:bottom w:val="nil" w:sz="4" w:color="FFFFFF"/>
          <w:right w:val="nil" w:sz="4" w:color="FFFFFF"/>
          <w:insideH w:val="nil" w:sz="4" w:color="FFFFFF"/>
          <w:insideV w:val="nil" w:sz="4" w:color="FFFFFF"/>
        </w:tblBorders>
      </w:tblPr>
      <w:tblGrid>
        <w:gridCol w:w="3027"/>
        <w:gridCol w:w="3027"/>
        <w:gridCol w:w="3027"/>
        <w:gridCol w:w="3027"/>
        <w:gridCol w:w="3027"/>
      </w:tblGrid>
      <w:tr>
        <w:trPr>
          <w:cantSplit/>
        </w:trPr>
        <w:tc>
          <w:tcPr>
            <w:tcW w:type="dxa" w:w="3027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shd w:fill="0B1F3A"/>
            <w:tcMar>
              <w:top w:w="240" w:type="dxa"/>
              <w:start w:w="180" w:type="dxa"/>
              <w:bottom w:w="240" w:type="dxa"/>
              <w:end w:w="180" w:type="dxa"/>
            </w:tcMar>
          </w:tcPr>
          <w:p>
            <w:pPr>
              <w:spacing w:after="80" w:line="264" w:lineRule="auto"/>
            </w:pPr>
            <w:r>
              <w:rPr>
                <w:rFonts w:ascii="Inter" w:hAnsi="Inter"/>
                <w:b/>
                <w:color w:val="FFFFFF"/>
                <w:sz w:val="22"/>
              </w:rPr>
              <w:t>SALAR Navy</w:t>
            </w:r>
          </w:p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FFFFFF"/>
                <w:sz w:val="24"/>
              </w:rPr>
              <w:t>#0B1F3A</w:t>
            </w:r>
          </w:p>
        </w:tc>
        <w:tc>
          <w:tcPr>
            <w:tcW w:type="dxa" w:w="3027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shd w:fill="2563EB"/>
            <w:tcMar>
              <w:top w:w="240" w:type="dxa"/>
              <w:start w:w="180" w:type="dxa"/>
              <w:bottom w:w="240" w:type="dxa"/>
              <w:end w:w="180" w:type="dxa"/>
            </w:tcMar>
          </w:tcPr>
          <w:p>
            <w:pPr>
              <w:spacing w:after="80" w:line="264" w:lineRule="auto"/>
            </w:pPr>
            <w:r>
              <w:rPr>
                <w:rFonts w:ascii="Inter" w:hAnsi="Inter"/>
                <w:b/>
                <w:color w:val="FFFFFF"/>
                <w:sz w:val="22"/>
              </w:rPr>
              <w:t>SALAR Blue</w:t>
            </w:r>
          </w:p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FFFFFF"/>
                <w:sz w:val="24"/>
              </w:rPr>
              <w:t>#2563EB</w:t>
            </w:r>
          </w:p>
        </w:tc>
        <w:tc>
          <w:tcPr>
            <w:tcW w:type="dxa" w:w="3027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shd w:fill="06B6D4"/>
            <w:tcMar>
              <w:top w:w="240" w:type="dxa"/>
              <w:start w:w="180" w:type="dxa"/>
              <w:bottom w:w="240" w:type="dxa"/>
              <w:end w:w="180" w:type="dxa"/>
            </w:tcMar>
          </w:tcPr>
          <w:p>
            <w:pPr>
              <w:spacing w:after="80" w:line="264" w:lineRule="auto"/>
            </w:pPr>
            <w:r>
              <w:rPr>
                <w:rFonts w:ascii="Inter" w:hAnsi="Inter"/>
                <w:b/>
                <w:color w:val="FFFFFF"/>
                <w:sz w:val="22"/>
              </w:rPr>
              <w:t>SALAR Cyan</w:t>
            </w:r>
          </w:p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FFFFFF"/>
                <w:sz w:val="24"/>
              </w:rPr>
              <w:t>#06B6D4</w:t>
            </w:r>
          </w:p>
        </w:tc>
        <w:tc>
          <w:tcPr>
            <w:tcW w:type="dxa" w:w="3027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shd w:fill="EAF4FF"/>
            <w:tcMar>
              <w:top w:w="240" w:type="dxa"/>
              <w:start w:w="180" w:type="dxa"/>
              <w:bottom w:w="240" w:type="dxa"/>
              <w:end w:w="180" w:type="dxa"/>
            </w:tcMar>
          </w:tcPr>
          <w:p>
            <w:pPr>
              <w:spacing w:after="80" w:line="264" w:lineRule="auto"/>
            </w:pPr>
            <w:r>
              <w:rPr>
                <w:rFonts w:ascii="Inter" w:hAnsi="Inter"/>
                <w:b/>
                <w:color w:val="0B1F3A"/>
                <w:sz w:val="22"/>
              </w:rPr>
              <w:t>SALAR Light</w:t>
            </w:r>
          </w:p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B1F3A"/>
                <w:sz w:val="24"/>
              </w:rPr>
              <w:t>#EAF4FF</w:t>
            </w:r>
          </w:p>
        </w:tc>
        <w:tc>
          <w:tcPr>
            <w:tcW w:type="dxa" w:w="3027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shd w:fill="9AA3B8"/>
            <w:tcMar>
              <w:top w:w="240" w:type="dxa"/>
              <w:start w:w="180" w:type="dxa"/>
              <w:bottom w:w="240" w:type="dxa"/>
              <w:end w:w="180" w:type="dxa"/>
            </w:tcMar>
          </w:tcPr>
          <w:p>
            <w:pPr>
              <w:spacing w:after="80" w:line="264" w:lineRule="auto"/>
            </w:pPr>
            <w:r>
              <w:rPr>
                <w:rFonts w:ascii="Inter" w:hAnsi="Inter"/>
                <w:b/>
                <w:color w:val="0B1F3A"/>
                <w:sz w:val="22"/>
              </w:rPr>
              <w:t>SALAR Gray</w:t>
            </w:r>
          </w:p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B1F3A"/>
                <w:sz w:val="24"/>
              </w:rPr>
              <w:t>#9AA3B8</w:t>
            </w:r>
          </w:p>
        </w:tc>
      </w:tr>
    </w:tbl>
    <w:p>
      <w:pPr>
        <w:pStyle w:val="Heading2"/>
        <w:spacing w:after="100" w:before="120" w:line="269" w:lineRule="auto"/>
      </w:pPr>
      <w:r>
        <w:rPr>
          <w:rFonts w:ascii="Inter" w:hAnsi="Inter"/>
          <w:b/>
          <w:color w:val="2563EB"/>
          <w:sz w:val="24"/>
        </w:rPr>
        <w:t>Kleurcodes en rolverdeling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FFFFFF"/>
          <w:left w:val="nil" w:sz="4" w:color="FFFFFF"/>
          <w:bottom w:val="nil" w:sz="4" w:color="FFFFFF"/>
          <w:right w:val="nil" w:sz="4" w:color="FFFFFF"/>
          <w:insideH w:val="nil" w:sz="4" w:color="FFFFFF"/>
          <w:insideV w:val="nil" w:sz="4" w:color="FFFFFF"/>
        </w:tblBorders>
        <w:tblBorders>
          <w:top w:val="single" w:sz="4" w:color="E1E8F1"/>
          <w:left w:val="single" w:sz="4" w:color="E1E8F1"/>
          <w:bottom w:val="single" w:sz="4" w:color="E1E8F1"/>
          <w:right w:val="single" w:sz="4" w:color="E1E8F1"/>
          <w:insideH w:val="single" w:sz="4" w:color="E1E8F1"/>
          <w:insideV w:val="single" w:sz="4" w:color="E1E8F1"/>
        </w:tblBorders>
      </w:tblPr>
      <w:tblGrid>
        <w:gridCol w:w="2381"/>
        <w:gridCol w:w="1814"/>
        <w:gridCol w:w="2154"/>
        <w:gridCol w:w="8787"/>
      </w:tblGrid>
      <w:tr>
        <w:trPr>
          <w:cantSplit/>
          <w:tblHeader/>
        </w:trPr>
        <w:tc>
          <w:tcPr>
            <w:tcW w:type="dxa" w:w="2381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shd w:fill="0B1F3A"/>
          </w:tcPr>
          <w:p>
            <w:pPr>
              <w:spacing w:after="0" w:line="264" w:lineRule="auto"/>
            </w:pPr>
            <w:r>
              <w:rPr>
                <w:rFonts w:ascii="Inter" w:hAnsi="Inter"/>
                <w:b/>
                <w:color w:val="FFFFFF"/>
                <w:sz w:val="19"/>
              </w:rPr>
              <w:t>Kleur</w:t>
            </w:r>
          </w:p>
        </w:tc>
        <w:tc>
          <w:tcPr>
            <w:tcW w:type="dxa" w:w="1814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shd w:fill="0B1F3A"/>
          </w:tcPr>
          <w:p>
            <w:pPr>
              <w:spacing w:after="0" w:line="264" w:lineRule="auto"/>
            </w:pPr>
            <w:r>
              <w:rPr>
                <w:rFonts w:ascii="Inter" w:hAnsi="Inter"/>
                <w:b/>
                <w:color w:val="FFFFFF"/>
                <w:sz w:val="19"/>
              </w:rPr>
              <w:t>HEX / sRGB</w:t>
            </w:r>
          </w:p>
        </w:tc>
        <w:tc>
          <w:tcPr>
            <w:tcW w:type="dxa" w:w="2154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shd w:fill="0B1F3A"/>
          </w:tcPr>
          <w:p>
            <w:pPr>
              <w:spacing w:after="0" w:line="264" w:lineRule="auto"/>
            </w:pPr>
            <w:r>
              <w:rPr>
                <w:rFonts w:ascii="Inter" w:hAnsi="Inter"/>
                <w:b/>
                <w:color w:val="FFFFFF"/>
                <w:sz w:val="19"/>
              </w:rPr>
              <w:t>RGB</w:t>
            </w:r>
          </w:p>
        </w:tc>
        <w:tc>
          <w:tcPr>
            <w:tcW w:type="dxa" w:w="8787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shd w:fill="0B1F3A"/>
          </w:tcPr>
          <w:p>
            <w:pPr>
              <w:spacing w:after="0" w:line="264" w:lineRule="auto"/>
            </w:pPr>
            <w:r>
              <w:rPr>
                <w:rFonts w:ascii="Inter" w:hAnsi="Inter"/>
                <w:b/>
                <w:color w:val="FFFFFF"/>
                <w:sz w:val="19"/>
              </w:rPr>
              <w:t>Gebruik</w:t>
            </w:r>
          </w:p>
        </w:tc>
      </w:tr>
      <w:tr>
        <w:trPr>
          <w:cantSplit/>
        </w:trPr>
        <w:tc>
          <w:tcPr>
            <w:tcW w:type="dxa" w:w="2381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95" w:type="dxa"/>
              <w:start w:w="140" w:type="dxa"/>
              <w:bottom w:w="95" w:type="dxa"/>
              <w:end w:w="140" w:type="dxa"/>
            </w:tcMar>
          </w:tcPr>
          <w:p>
            <w:pPr>
              <w:spacing w:after="0" w:line="264" w:lineRule="auto"/>
            </w:pPr>
            <w:r>
              <w:rPr>
                <w:rFonts w:ascii="Inter" w:hAnsi="Inter"/>
                <w:b/>
                <w:color w:val="0B1F3A"/>
                <w:sz w:val="19"/>
              </w:rPr>
              <w:t>SALAR Navy</w:t>
            </w:r>
          </w:p>
        </w:tc>
        <w:tc>
          <w:tcPr>
            <w:tcW w:type="dxa" w:w="1814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95" w:type="dxa"/>
              <w:start w:w="140" w:type="dxa"/>
              <w:bottom w:w="95" w:type="dxa"/>
              <w:end w:w="140" w:type="dxa"/>
            </w:tcMar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B1F3A"/>
                <w:sz w:val="19"/>
              </w:rPr>
              <w:t>#0B1F3A</w:t>
            </w:r>
          </w:p>
        </w:tc>
        <w:tc>
          <w:tcPr>
            <w:tcW w:type="dxa" w:w="2154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95" w:type="dxa"/>
              <w:start w:w="140" w:type="dxa"/>
              <w:bottom w:w="95" w:type="dxa"/>
              <w:end w:w="140" w:type="dxa"/>
            </w:tcMar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B1F3A"/>
                <w:sz w:val="19"/>
              </w:rPr>
              <w:t>11, 31, 58</w:t>
            </w:r>
          </w:p>
        </w:tc>
        <w:tc>
          <w:tcPr>
            <w:tcW w:type="dxa" w:w="8787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95" w:type="dxa"/>
              <w:start w:w="140" w:type="dxa"/>
              <w:bottom w:w="95" w:type="dxa"/>
              <w:end w:w="140" w:type="dxa"/>
            </w:tcMar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B1F3A"/>
                <w:sz w:val="19"/>
              </w:rPr>
              <w:t>Basis van de woordmerken, hoofdtekst en donkere achtergronden.</w:t>
            </w:r>
          </w:p>
        </w:tc>
      </w:tr>
      <w:tr>
        <w:trPr>
          <w:cantSplit/>
        </w:trPr>
        <w:tc>
          <w:tcPr>
            <w:tcW w:type="dxa" w:w="2381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95" w:type="dxa"/>
              <w:start w:w="140" w:type="dxa"/>
              <w:bottom w:w="95" w:type="dxa"/>
              <w:end w:w="140" w:type="dxa"/>
            </w:tcMar>
            <w:shd w:fill="F7FAFE"/>
          </w:tcPr>
          <w:p>
            <w:pPr>
              <w:spacing w:after="0" w:line="264" w:lineRule="auto"/>
            </w:pPr>
            <w:r>
              <w:rPr>
                <w:rFonts w:ascii="Inter" w:hAnsi="Inter"/>
                <w:b/>
                <w:color w:val="0B1F3A"/>
                <w:sz w:val="19"/>
              </w:rPr>
              <w:t>SALAR Blue</w:t>
            </w:r>
          </w:p>
        </w:tc>
        <w:tc>
          <w:tcPr>
            <w:tcW w:type="dxa" w:w="1814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95" w:type="dxa"/>
              <w:start w:w="140" w:type="dxa"/>
              <w:bottom w:w="95" w:type="dxa"/>
              <w:end w:w="140" w:type="dxa"/>
            </w:tcMar>
            <w:shd w:fill="F7FAFE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B1F3A"/>
                <w:sz w:val="19"/>
              </w:rPr>
              <w:t>#2563EB</w:t>
            </w:r>
          </w:p>
        </w:tc>
        <w:tc>
          <w:tcPr>
            <w:tcW w:type="dxa" w:w="2154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95" w:type="dxa"/>
              <w:start w:w="140" w:type="dxa"/>
              <w:bottom w:w="95" w:type="dxa"/>
              <w:end w:w="140" w:type="dxa"/>
            </w:tcMar>
            <w:shd w:fill="F7FAFE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B1F3A"/>
                <w:sz w:val="19"/>
              </w:rPr>
              <w:t>37, 99, 235</w:t>
            </w:r>
          </w:p>
        </w:tc>
        <w:tc>
          <w:tcPr>
            <w:tcW w:type="dxa" w:w="8787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95" w:type="dxa"/>
              <w:start w:w="140" w:type="dxa"/>
              <w:bottom w:w="95" w:type="dxa"/>
              <w:end w:w="140" w:type="dxa"/>
            </w:tcMar>
            <w:shd w:fill="F7FAFE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B1F3A"/>
                <w:sz w:val="19"/>
              </w:rPr>
              <w:t>Primair blauw voor productaccenten en het begin van het kleurverloop.</w:t>
            </w:r>
          </w:p>
        </w:tc>
      </w:tr>
      <w:tr>
        <w:trPr>
          <w:cantSplit/>
        </w:trPr>
        <w:tc>
          <w:tcPr>
            <w:tcW w:type="dxa" w:w="2381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95" w:type="dxa"/>
              <w:start w:w="140" w:type="dxa"/>
              <w:bottom w:w="95" w:type="dxa"/>
              <w:end w:w="140" w:type="dxa"/>
            </w:tcMar>
          </w:tcPr>
          <w:p>
            <w:pPr>
              <w:spacing w:after="0" w:line="264" w:lineRule="auto"/>
            </w:pPr>
            <w:r>
              <w:rPr>
                <w:rFonts w:ascii="Inter" w:hAnsi="Inter"/>
                <w:b/>
                <w:color w:val="0B1F3A"/>
                <w:sz w:val="19"/>
              </w:rPr>
              <w:t>SALAR Cyan</w:t>
            </w:r>
          </w:p>
        </w:tc>
        <w:tc>
          <w:tcPr>
            <w:tcW w:type="dxa" w:w="1814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95" w:type="dxa"/>
              <w:start w:w="140" w:type="dxa"/>
              <w:bottom w:w="95" w:type="dxa"/>
              <w:end w:w="140" w:type="dxa"/>
            </w:tcMar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B1F3A"/>
                <w:sz w:val="19"/>
              </w:rPr>
              <w:t>#06B6D4</w:t>
            </w:r>
          </w:p>
        </w:tc>
        <w:tc>
          <w:tcPr>
            <w:tcW w:type="dxa" w:w="2154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95" w:type="dxa"/>
              <w:start w:w="140" w:type="dxa"/>
              <w:bottom w:w="95" w:type="dxa"/>
              <w:end w:w="140" w:type="dxa"/>
            </w:tcMar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B1F3A"/>
                <w:sz w:val="19"/>
              </w:rPr>
              <w:t>6, 182, 212</w:t>
            </w:r>
          </w:p>
        </w:tc>
        <w:tc>
          <w:tcPr>
            <w:tcW w:type="dxa" w:w="8787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95" w:type="dxa"/>
              <w:start w:w="140" w:type="dxa"/>
              <w:bottom w:w="95" w:type="dxa"/>
              <w:end w:w="140" w:type="dxa"/>
            </w:tcMar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B1F3A"/>
                <w:sz w:val="19"/>
              </w:rPr>
              <w:t>Secundair accent en het lichte uiteinde van kleurverlopen.</w:t>
            </w:r>
          </w:p>
        </w:tc>
      </w:tr>
      <w:tr>
        <w:trPr>
          <w:cantSplit/>
        </w:trPr>
        <w:tc>
          <w:tcPr>
            <w:tcW w:type="dxa" w:w="2381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95" w:type="dxa"/>
              <w:start w:w="140" w:type="dxa"/>
              <w:bottom w:w="95" w:type="dxa"/>
              <w:end w:w="140" w:type="dxa"/>
            </w:tcMar>
            <w:shd w:fill="F7FAFE"/>
          </w:tcPr>
          <w:p>
            <w:pPr>
              <w:spacing w:after="0" w:line="264" w:lineRule="auto"/>
            </w:pPr>
            <w:r>
              <w:rPr>
                <w:rFonts w:ascii="Inter" w:hAnsi="Inter"/>
                <w:b/>
                <w:color w:val="0B1F3A"/>
                <w:sz w:val="19"/>
              </w:rPr>
              <w:t>SALAR Light</w:t>
            </w:r>
          </w:p>
        </w:tc>
        <w:tc>
          <w:tcPr>
            <w:tcW w:type="dxa" w:w="1814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95" w:type="dxa"/>
              <w:start w:w="140" w:type="dxa"/>
              <w:bottom w:w="95" w:type="dxa"/>
              <w:end w:w="140" w:type="dxa"/>
            </w:tcMar>
            <w:shd w:fill="F7FAFE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B1F3A"/>
                <w:sz w:val="19"/>
              </w:rPr>
              <w:t>#EAF4FF</w:t>
            </w:r>
          </w:p>
        </w:tc>
        <w:tc>
          <w:tcPr>
            <w:tcW w:type="dxa" w:w="2154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95" w:type="dxa"/>
              <w:start w:w="140" w:type="dxa"/>
              <w:bottom w:w="95" w:type="dxa"/>
              <w:end w:w="140" w:type="dxa"/>
            </w:tcMar>
            <w:shd w:fill="F7FAFE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B1F3A"/>
                <w:sz w:val="19"/>
              </w:rPr>
              <w:t>234, 244, 255</w:t>
            </w:r>
          </w:p>
        </w:tc>
        <w:tc>
          <w:tcPr>
            <w:tcW w:type="dxa" w:w="8787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95" w:type="dxa"/>
              <w:start w:w="140" w:type="dxa"/>
              <w:bottom w:w="95" w:type="dxa"/>
              <w:end w:w="140" w:type="dxa"/>
            </w:tcMar>
            <w:shd w:fill="F7FAFE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B1F3A"/>
                <w:sz w:val="19"/>
              </w:rPr>
              <w:t>Rustige achtergrondvlakken en de cirkel in producttegels.</w:t>
            </w:r>
          </w:p>
        </w:tc>
      </w:tr>
      <w:tr>
        <w:trPr>
          <w:cantSplit/>
        </w:trPr>
        <w:tc>
          <w:tcPr>
            <w:tcW w:type="dxa" w:w="2381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95" w:type="dxa"/>
              <w:start w:w="140" w:type="dxa"/>
              <w:bottom w:w="95" w:type="dxa"/>
              <w:end w:w="140" w:type="dxa"/>
            </w:tcMar>
          </w:tcPr>
          <w:p>
            <w:pPr>
              <w:spacing w:after="0" w:line="264" w:lineRule="auto"/>
            </w:pPr>
            <w:r>
              <w:rPr>
                <w:rFonts w:ascii="Inter" w:hAnsi="Inter"/>
                <w:b/>
                <w:color w:val="0B1F3A"/>
                <w:sz w:val="19"/>
              </w:rPr>
              <w:t>SALAR Gray</w:t>
            </w:r>
          </w:p>
        </w:tc>
        <w:tc>
          <w:tcPr>
            <w:tcW w:type="dxa" w:w="1814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95" w:type="dxa"/>
              <w:start w:w="140" w:type="dxa"/>
              <w:bottom w:w="95" w:type="dxa"/>
              <w:end w:w="140" w:type="dxa"/>
            </w:tcMar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B1F3A"/>
                <w:sz w:val="19"/>
              </w:rPr>
              <w:t>#9AA3B8</w:t>
            </w:r>
          </w:p>
        </w:tc>
        <w:tc>
          <w:tcPr>
            <w:tcW w:type="dxa" w:w="2154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95" w:type="dxa"/>
              <w:start w:w="140" w:type="dxa"/>
              <w:bottom w:w="95" w:type="dxa"/>
              <w:end w:w="140" w:type="dxa"/>
            </w:tcMar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B1F3A"/>
                <w:sz w:val="19"/>
              </w:rPr>
              <w:t>154, 163, 184</w:t>
            </w:r>
          </w:p>
        </w:tc>
        <w:tc>
          <w:tcPr>
            <w:tcW w:type="dxa" w:w="8787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95" w:type="dxa"/>
              <w:start w:w="140" w:type="dxa"/>
              <w:bottom w:w="95" w:type="dxa"/>
              <w:end w:w="140" w:type="dxa"/>
            </w:tcMar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B1F3A"/>
                <w:sz w:val="19"/>
              </w:rPr>
              <w:t>Ondersteunende grafiek, metadata en secundaire accenten; niet voor kleine hoofdtekst.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FFFFFF"/>
          <w:left w:val="nil" w:sz="4" w:color="FFFFFF"/>
          <w:bottom w:val="nil" w:sz="4" w:color="FFFFFF"/>
          <w:right w:val="nil" w:sz="4" w:color="FFFFFF"/>
          <w:insideH w:val="nil" w:sz="4" w:color="FFFFFF"/>
          <w:insideV w:val="nil" w:sz="4" w:color="FFFFFF"/>
        </w:tblBorders>
      </w:tblPr>
      <w:tblGrid>
        <w:gridCol w:w="7569"/>
        <w:gridCol w:w="7569"/>
      </w:tblGrid>
      <w:tr>
        <w:trPr>
          <w:cantSplit/>
        </w:trPr>
        <w:tc>
          <w:tcPr>
            <w:tcW w:type="dxa" w:w="7569"/>
            <w:vAlign w:val="top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pPr>
              <w:spacing w:after="120" w:line="264" w:lineRule="auto"/>
            </w:pPr>
            <w:r>
              <w:rPr>
                <w:rFonts w:ascii="Inter" w:hAnsi="Inter"/>
                <w:b/>
                <w:color w:val="2563EB"/>
                <w:sz w:val="22"/>
              </w:rPr>
              <w:t>Kleurverlopen in deze reconstructie</w:t>
            </w:r>
          </w:p>
          <w:p>
            <w:pPr>
              <w:spacing w:after="120" w:line="264" w:lineRule="auto"/>
            </w:pPr>
            <w:r>
              <w:rPr>
                <w:rFonts w:ascii="Inter" w:hAnsi="Inter"/>
                <w:b w:val="0"/>
                <w:color w:val="0B1F3A"/>
                <w:sz w:val="20"/>
              </w:rPr>
              <w:t>Woordmerkaccent: horizontaal, #2563EB naar #06B6D4. S-icoon: diagonaal van linksboven naar rechtsonder, #0B1F3A (0%), #2563EB (52%), #06B6D4 (100%).</w:t>
            </w:r>
          </w:p>
          <w:p>
            <w:pPr>
              <w:spacing w:after="120" w:line="264" w:lineRule="auto"/>
            </w:pPr>
            <w:r>
              <w:rPr>
                <w:rFonts w:ascii="Inter" w:hAnsi="Inter"/>
                <w:b w:val="0"/>
                <w:color w:val="0B1F3A"/>
                <w:sz w:val="20"/>
              </w:rPr>
              <w:t>Verbindingssymbool: dezelfde diagonale richting; #2563EB op 0% en 55%, #06B6D4 op 100%. Monochrome uitvoeringen hebben geen verloop.</w:t>
            </w:r>
          </w:p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475569"/>
                <w:sz w:val="18"/>
              </w:rPr>
              <w:t>Wit #FFFFFF en zwart #000000 zijn technische uitvoeringskleuren. Tekstgrijs #475569 wordt alleen voor leesbare documenttekst gebruikt.</w:t>
            </w:r>
          </w:p>
        </w:tc>
        <w:tc>
          <w:tcPr>
            <w:tcW w:type="dxa" w:w="7569"/>
            <w:vAlign w:val="top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pPr>
              <w:spacing w:after="120" w:line="264" w:lineRule="auto"/>
            </w:pPr>
            <w:r>
              <w:rPr>
                <w:rFonts w:ascii="Inter" w:hAnsi="Inter"/>
                <w:b/>
                <w:color w:val="2563EB"/>
                <w:sz w:val="22"/>
              </w:rPr>
              <w:t>Inter voor communicatie</w:t>
            </w:r>
          </w:p>
          <w:p>
            <w:pPr>
              <w:spacing w:after="140" w:line="264" w:lineRule="auto"/>
            </w:pPr>
            <w:r>
              <w:rPr>
                <w:rFonts w:ascii="Inter" w:hAnsi="Inter"/>
                <w:b w:val="0"/>
                <w:color w:val="0B1F3A"/>
                <w:sz w:val="28"/>
              </w:rPr>
              <w:t>Regular / Medium / Semibold / Bold</w:t>
            </w:r>
          </w:p>
          <w:p>
            <w:pPr>
              <w:spacing w:after="120" w:line="264" w:lineRule="auto"/>
            </w:pPr>
            <w:r>
              <w:rPr>
                <w:rFonts w:ascii="Inter" w:hAnsi="Inter"/>
                <w:b w:val="0"/>
                <w:color w:val="0B1F3A"/>
                <w:sz w:val="20"/>
              </w:rPr>
              <w:t>Gebruik Inter voor interfaces, web, presentaties en documenten. Arial is de terugvaloptie voor e-mails of systemen zonder Inter.</w:t>
            </w:r>
          </w:p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B1F3A"/>
                <w:sz w:val="20"/>
              </w:rPr>
              <w:t>Het logo is geen getypte Inter-tekst: de aangeleverde woordmerkletters zijn als contouren behouden. De payoffs zijn met Inter opnieuw gezet en daarna naar contouren omgezet.</w:t>
            </w:r>
          </w:p>
        </w:tc>
      </w:tr>
    </w:tbl>
    <w:p>
      <w:pPr>
        <w:pageBreakBefore/>
        <w:spacing w:after="80" w:before="0" w:line="269" w:lineRule="auto"/>
      </w:pPr>
      <w:r>
        <w:rPr>
          <w:rFonts w:ascii="Inter" w:hAnsi="Inter"/>
          <w:b/>
          <w:color w:val="9AA3B8"/>
          <w:sz w:val="17"/>
        </w:rPr>
        <w:t>03 / TEKST EN TOEPASSING</w:t>
      </w:r>
    </w:p>
    <w:p>
      <w:pPr>
        <w:pStyle w:val="Heading1"/>
        <w:spacing w:after="120" w:before="0" w:line="269" w:lineRule="auto"/>
      </w:pPr>
      <w:r>
        <w:rPr>
          <w:rFonts w:ascii="Inter" w:hAnsi="Inter"/>
          <w:b/>
          <w:color w:val="0B1F3A"/>
          <w:sz w:val="48"/>
        </w:rPr>
        <w:t>Vaste teksten &amp; gebruiksregels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FFFFFF"/>
          <w:left w:val="nil" w:sz="4" w:color="FFFFFF"/>
          <w:bottom w:val="nil" w:sz="4" w:color="FFFFFF"/>
          <w:right w:val="nil" w:sz="4" w:color="FFFFFF"/>
          <w:insideH w:val="nil" w:sz="4" w:color="FFFFFF"/>
          <w:insideV w:val="nil" w:sz="4" w:color="FFFFFF"/>
        </w:tblBorders>
        <w:tblBorders>
          <w:top w:val="single" w:sz="4" w:color="E1E8F1"/>
          <w:left w:val="single" w:sz="4" w:color="E1E8F1"/>
          <w:bottom w:val="single" w:sz="4" w:color="E1E8F1"/>
          <w:right w:val="single" w:sz="4" w:color="E1E8F1"/>
          <w:insideH w:val="single" w:sz="4" w:color="E1E8F1"/>
          <w:insideV w:val="single" w:sz="4" w:color="E1E8F1"/>
        </w:tblBorders>
      </w:tblPr>
      <w:tblGrid>
        <w:gridCol w:w="2835"/>
        <w:gridCol w:w="12302"/>
      </w:tblGrid>
      <w:tr>
        <w:trPr>
          <w:cantSplit/>
        </w:trPr>
        <w:tc>
          <w:tcPr>
            <w:tcW w:type="dxa" w:w="2835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shd w:fill="EAF4FF"/>
          </w:tcPr>
          <w:p>
            <w:pPr>
              <w:spacing w:after="0" w:line="264" w:lineRule="auto"/>
            </w:pPr>
            <w:r>
              <w:rPr>
                <w:rFonts w:ascii="Inter" w:hAnsi="Inter"/>
                <w:b/>
                <w:color w:val="0B1F3A"/>
                <w:sz w:val="20"/>
              </w:rPr>
              <w:t>Onderdeel</w:t>
            </w:r>
          </w:p>
        </w:tc>
        <w:tc>
          <w:tcPr>
            <w:tcW w:type="dxa" w:w="12302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shd w:fill="0B1F3A"/>
          </w:tcPr>
          <w:p>
            <w:pPr>
              <w:spacing w:after="0" w:line="264" w:lineRule="auto"/>
            </w:pPr>
            <w:r>
              <w:rPr>
                <w:rFonts w:ascii="Inter" w:hAnsi="Inter"/>
                <w:b/>
                <w:color w:val="FFFFFF"/>
                <w:sz w:val="20"/>
              </w:rPr>
              <w:t>SALAR Software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shd w:fill="EAF4FF"/>
          </w:tcPr>
          <w:p>
            <w:pPr>
              <w:spacing w:after="0" w:line="264" w:lineRule="auto"/>
            </w:pPr>
            <w:r>
              <w:rPr>
                <w:rFonts w:ascii="Inter" w:hAnsi="Inter"/>
                <w:b/>
                <w:color w:val="0B1F3A"/>
                <w:sz w:val="20"/>
              </w:rPr>
              <w:t>Merknaam in tekst</w:t>
            </w:r>
          </w:p>
        </w:tc>
        <w:tc>
          <w:tcPr>
            <w:tcW w:type="dxa" w:w="12302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B1F3A"/>
                <w:sz w:val="20"/>
              </w:rPr>
              <w:t>SALAR Software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shd w:fill="EAF4FF"/>
          </w:tcPr>
          <w:p>
            <w:pPr>
              <w:spacing w:after="0" w:line="264" w:lineRule="auto"/>
            </w:pPr>
            <w:r>
              <w:rPr>
                <w:rFonts w:ascii="Inter" w:hAnsi="Inter"/>
                <w:b/>
                <w:color w:val="0B1F3A"/>
                <w:sz w:val="20"/>
              </w:rPr>
              <w:t>Visueel woordmerk</w:t>
            </w:r>
          </w:p>
        </w:tc>
        <w:tc>
          <w:tcPr>
            <w:tcW w:type="dxa" w:w="12302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B1F3A"/>
                <w:sz w:val="20"/>
              </w:rPr>
              <w:t>salar.software / bestaande vorm behouden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shd w:fill="EAF4FF"/>
          </w:tcPr>
          <w:p>
            <w:pPr>
              <w:spacing w:after="0" w:line="264" w:lineRule="auto"/>
            </w:pPr>
            <w:r>
              <w:rPr>
                <w:rFonts w:ascii="Inter" w:hAnsi="Inter"/>
                <w:b/>
                <w:color w:val="0B1F3A"/>
                <w:sz w:val="20"/>
              </w:rPr>
              <w:t>Payoff in deze set</w:t>
            </w:r>
          </w:p>
        </w:tc>
        <w:tc>
          <w:tcPr>
            <w:tcW w:type="dxa" w:w="12302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B1F3A"/>
                <w:sz w:val="20"/>
              </w:rPr>
              <w:t>De Kracht van Eenvoud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shd w:fill="EAF4FF"/>
          </w:tcPr>
          <w:p>
            <w:pPr>
              <w:spacing w:after="0" w:line="264" w:lineRule="auto"/>
            </w:pPr>
            <w:r>
              <w:rPr>
                <w:rFonts w:ascii="Inter" w:hAnsi="Inter"/>
                <w:b/>
                <w:color w:val="0B1F3A"/>
                <w:sz w:val="20"/>
              </w:rPr>
              <w:t>Merkrol</w:t>
            </w:r>
          </w:p>
        </w:tc>
        <w:tc>
          <w:tcPr>
            <w:tcW w:type="dxa" w:w="12302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B1F3A"/>
                <w:sz w:val="20"/>
              </w:rPr>
              <w:t>Corporate merk en afzender</w:t>
            </w:r>
          </w:p>
        </w:tc>
      </w:tr>
    </w:tbl>
    <w:p>
      <w:pPr>
        <w:spacing w:after="100" w:before="120" w:line="269" w:lineRule="auto"/>
      </w:pPr>
      <w:r>
        <w:rPr>
          <w:rFonts w:ascii="Inter" w:hAnsi="Inter"/>
          <w:b w:val="0"/>
          <w:color w:val="475569"/>
          <w:sz w:val="20"/>
        </w:rPr>
        <w:t>De Kracht van Eenvoud blijft de centrale merkbelofte. De Payroll Engine-payoff wordt niet naar de andere merken gekopieerd. Er zijn geen nieuwe claims over functionaliteit, koppelingen, veiligheid of prijs toegevoegd.</w:t>
      </w:r>
    </w:p>
    <w:p>
      <w:pPr>
        <w:pStyle w:val="Heading2"/>
        <w:spacing w:after="100" w:before="120" w:line="269" w:lineRule="auto"/>
      </w:pPr>
      <w:r>
        <w:rPr>
          <w:rFonts w:ascii="Inter" w:hAnsi="Inter"/>
          <w:b/>
          <w:color w:val="2563EB"/>
          <w:sz w:val="24"/>
        </w:rPr>
        <w:t>Vrije ruimte en minimumgebruik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FFFFFF"/>
          <w:left w:val="nil" w:sz="4" w:color="FFFFFF"/>
          <w:bottom w:val="nil" w:sz="4" w:color="FFFFFF"/>
          <w:right w:val="nil" w:sz="4" w:color="FFFFFF"/>
          <w:insideH w:val="nil" w:sz="4" w:color="FFFFFF"/>
          <w:insideV w:val="nil" w:sz="4" w:color="FFFFFF"/>
        </w:tblBorders>
        <w:tblBorders>
          <w:top w:val="single" w:sz="4" w:color="E1E8F1"/>
          <w:left w:val="single" w:sz="4" w:color="E1E8F1"/>
          <w:bottom w:val="single" w:sz="4" w:color="E1E8F1"/>
          <w:right w:val="single" w:sz="4" w:color="E1E8F1"/>
          <w:insideH w:val="single" w:sz="4" w:color="E1E8F1"/>
          <w:insideV w:val="single" w:sz="4" w:color="E1E8F1"/>
        </w:tblBorders>
      </w:tblPr>
      <w:tblGrid>
        <w:gridCol w:w="2324"/>
        <w:gridCol w:w="5896"/>
        <w:gridCol w:w="6917"/>
      </w:tblGrid>
      <w:tr>
        <w:trPr>
          <w:cantSplit/>
        </w:trPr>
        <w:tc>
          <w:tcPr>
            <w:tcW w:type="dxa" w:w="2324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shd w:fill="0B1F3A"/>
          </w:tcPr>
          <w:p>
            <w:pPr>
              <w:spacing w:after="0" w:line="264" w:lineRule="auto"/>
            </w:pPr>
            <w:r>
              <w:rPr>
                <w:rFonts w:ascii="Inter" w:hAnsi="Inter"/>
                <w:b/>
                <w:color w:val="FFFFFF"/>
                <w:sz w:val="19"/>
              </w:rPr>
              <w:t>Merk</w:t>
            </w:r>
          </w:p>
        </w:tc>
        <w:tc>
          <w:tcPr>
            <w:tcW w:type="dxa" w:w="5896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shd w:fill="0B1F3A"/>
          </w:tcPr>
          <w:p>
            <w:pPr>
              <w:spacing w:after="0" w:line="264" w:lineRule="auto"/>
            </w:pPr>
            <w:r>
              <w:rPr>
                <w:rFonts w:ascii="Inter" w:hAnsi="Inter"/>
                <w:b/>
                <w:color w:val="FFFFFF"/>
                <w:sz w:val="19"/>
              </w:rPr>
              <w:t>Vrije ruimte rondom</w:t>
            </w:r>
          </w:p>
        </w:tc>
        <w:tc>
          <w:tcPr>
            <w:tcW w:type="dxa" w:w="6917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shd w:fill="0B1F3A"/>
          </w:tcPr>
          <w:p>
            <w:pPr>
              <w:spacing w:after="0" w:line="264" w:lineRule="auto"/>
            </w:pPr>
            <w:r>
              <w:rPr>
                <w:rFonts w:ascii="Inter" w:hAnsi="Inter"/>
                <w:b/>
                <w:color w:val="FFFFFF"/>
                <w:sz w:val="19"/>
              </w:rPr>
              <w:t>Praktische startwaarden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pPr>
              <w:spacing w:after="0" w:line="264" w:lineRule="auto"/>
            </w:pPr>
            <w:r>
              <w:rPr>
                <w:rFonts w:ascii="Inter" w:hAnsi="Inter"/>
                <w:b/>
                <w:color w:val="0B1F3A"/>
                <w:sz w:val="20"/>
              </w:rPr>
              <w:t>SALAR Software</w:t>
            </w:r>
          </w:p>
        </w:tc>
        <w:tc>
          <w:tcPr>
            <w:tcW w:type="dxa" w:w="5896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B1F3A"/>
                <w:sz w:val="20"/>
              </w:rPr>
              <w:t>Minimaal de hoogte van de kleine punt/markering. Houd bij voorkeur tweemaal die maat vrij.</w:t>
            </w:r>
          </w:p>
        </w:tc>
        <w:tc>
          <w:tcPr>
            <w:tcW w:type="dxa" w:w="6917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B1F3A"/>
                <w:sz w:val="20"/>
              </w:rPr>
              <w:t>Met payoff: vanaf 420 px / 70 mm breed. Zonder payoff: vanaf 180 px / 30 mm.</w:t>
            </w:r>
          </w:p>
        </w:tc>
      </w:tr>
    </w:tbl>
    <w:p>
      <w:pPr>
        <w:spacing w:after="100" w:before="100" w:line="269" w:lineRule="auto"/>
      </w:pPr>
      <w:r>
        <w:rPr>
          <w:rFonts w:ascii="Inter" w:hAnsi="Inter"/>
          <w:b w:val="0"/>
          <w:color w:val="475569"/>
          <w:sz w:val="18"/>
        </w:rPr>
        <w:t>De minimumformaten zijn startwaarden voor deze reconstructie, geen universele leesbaarheidsgarantie. Controleer het eindformaat. Wordt de payoff te klein, gebruik dan de compacte versie. Favicons zijn apart beschikbaar vanaf 16 px.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FFFFFF"/>
          <w:left w:val="nil" w:sz="4" w:color="FFFFFF"/>
          <w:bottom w:val="nil" w:sz="4" w:color="FFFFFF"/>
          <w:right w:val="nil" w:sz="4" w:color="FFFFFF"/>
          <w:insideH w:val="nil" w:sz="4" w:color="FFFFFF"/>
          <w:insideV w:val="nil" w:sz="4" w:color="FFFFFF"/>
        </w:tblBorders>
      </w:tblPr>
      <w:tblGrid>
        <w:gridCol w:w="7569"/>
        <w:gridCol w:w="7569"/>
      </w:tblGrid>
      <w:tr>
        <w:trPr>
          <w:cantSplit/>
        </w:trPr>
        <w:tc>
          <w:tcPr>
            <w:tcW w:type="dxa" w:w="7569"/>
            <w:vAlign w:val="top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pPr>
              <w:spacing w:after="120" w:line="264" w:lineRule="auto"/>
            </w:pPr>
            <w:r>
              <w:rPr>
                <w:rFonts w:ascii="Inter" w:hAnsi="Inter"/>
                <w:b/>
                <w:color w:val="2563EB"/>
                <w:sz w:val="22"/>
              </w:rPr>
              <w:t>Kies de juiste uitvoering</w:t>
            </w:r>
          </w:p>
          <w:p>
            <w:pPr>
              <w:spacing w:after="80" w:line="264" w:lineRule="auto"/>
            </w:pPr>
            <w:r>
              <w:rPr>
                <w:rFonts w:ascii="Inter" w:hAnsi="Inter"/>
                <w:b w:val="0"/>
                <w:color w:val="0B1F3A"/>
                <w:sz w:val="21"/>
              </w:rPr>
              <w:t>Op wit of licht: op_licht. Op navy: op_donker. Bij eenkleurige reproductie: mono_navy, mono_zwart of mono_wit. Gebruik een los symbool alleen als de merkcontext duidelijk is.</w:t>
            </w:r>
          </w:p>
          <w:p>
            <w:pPr>
              <w:spacing w:after="80" w:line="264" w:lineRule="auto"/>
            </w:pPr>
            <w:r>
              <w:rPr>
                <w:rFonts w:ascii="Inter" w:hAnsi="Inter"/>
                <w:b w:val="0"/>
                <w:color w:val="0B1F3A"/>
                <w:sz w:val="21"/>
              </w:rPr>
              <w:t>Gebruik de producttegel voor pakketkeuze of overzichten; gebruik deze niet als vervanging van het hoofdlogo.</w:t>
            </w:r>
          </w:p>
        </w:tc>
        <w:tc>
          <w:tcPr>
            <w:tcW w:type="dxa" w:w="7569"/>
            <w:vAlign w:val="top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pPr>
              <w:spacing w:after="120" w:line="264" w:lineRule="auto"/>
            </w:pPr>
            <w:r>
              <w:rPr>
                <w:rFonts w:ascii="Inter" w:hAnsi="Inter"/>
                <w:b/>
                <w:color w:val="2563EB"/>
                <w:sz w:val="22"/>
              </w:rPr>
              <w:t>Behoud de vaste vorm</w:t>
            </w:r>
          </w:p>
          <w:p>
            <w:pPr>
              <w:spacing w:after="80" w:line="264" w:lineRule="auto"/>
            </w:pPr>
            <w:r>
              <w:rPr>
                <w:rFonts w:ascii="Inter" w:hAnsi="Inter"/>
                <w:b w:val="0"/>
                <w:color w:val="0B1F3A"/>
                <w:sz w:val="21"/>
              </w:rPr>
              <w:t>Niet uitrekken, onderdelen verschuiven, letters vervangen of nieuwe schaduwen toevoegen. De beeldmerken van SALAR Software, SalarFusion en SALAR Payroll Engine zijn niet uitwisselbaar.</w:t>
            </w:r>
          </w:p>
          <w:p>
            <w:pPr>
              <w:spacing w:after="80" w:line="264" w:lineRule="auto"/>
            </w:pPr>
            <w:r>
              <w:rPr>
                <w:rFonts w:ascii="Inter" w:hAnsi="Inter"/>
                <w:b w:val="0"/>
                <w:color w:val="0B1F3A"/>
                <w:sz w:val="21"/>
              </w:rPr>
              <w:t>SalarFusion blijft zonder punt in de productnaam. De streep/punt van het corporate woordmerk is onderdeel van het logo, geen los te typen gelijkteken.</w:t>
            </w:r>
          </w:p>
        </w:tc>
      </w:tr>
    </w:tbl>
    <w:p>
      <w:pPr>
        <w:pageBreakBefore/>
        <w:spacing w:after="80" w:before="0" w:line="269" w:lineRule="auto"/>
      </w:pPr>
      <w:r>
        <w:rPr>
          <w:rFonts w:ascii="Inter" w:hAnsi="Inter"/>
          <w:b/>
          <w:color w:val="9AA3B8"/>
          <w:sz w:val="17"/>
        </w:rPr>
        <w:t>04 / OPLEVERING EN CONTROLE</w:t>
      </w:r>
    </w:p>
    <w:p>
      <w:pPr>
        <w:pStyle w:val="Heading1"/>
        <w:spacing w:after="120" w:before="0" w:line="269" w:lineRule="auto"/>
      </w:pPr>
      <w:r>
        <w:rPr>
          <w:rFonts w:ascii="Inter" w:hAnsi="Inter"/>
          <w:b/>
          <w:color w:val="0B1F3A"/>
          <w:sz w:val="48"/>
        </w:rPr>
        <w:t>Bestanden &amp; technische verantwoording</w:t>
      </w:r>
    </w:p>
    <w:p>
      <w:pPr>
        <w:spacing w:after="100" w:before="0" w:line="269" w:lineRule="auto"/>
      </w:pPr>
      <w:r>
        <w:rPr>
          <w:rFonts w:ascii="Inter" w:hAnsi="Inter"/>
          <w:b w:val="0"/>
          <w:color w:val="475569"/>
          <w:sz w:val="21"/>
        </w:rPr>
        <w:t>Elke merkmappenstructuur bevat 19 uitvoeringen: hoofdlogo, compact logo, gestapeld logo, los beeldmerk, app-icoon en producttegel, aangevuld met lichte, donkere en monochrome varianten.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FFFFFF"/>
          <w:left w:val="nil" w:sz="4" w:color="FFFFFF"/>
          <w:bottom w:val="nil" w:sz="4" w:color="FFFFFF"/>
          <w:right w:val="nil" w:sz="4" w:color="FFFFFF"/>
          <w:insideH w:val="nil" w:sz="4" w:color="FFFFFF"/>
          <w:insideV w:val="nil" w:sz="4" w:color="FFFFFF"/>
        </w:tblBorders>
        <w:tblBorders>
          <w:top w:val="single" w:sz="4" w:color="E1E8F1"/>
          <w:left w:val="single" w:sz="4" w:color="E1E8F1"/>
          <w:bottom w:val="single" w:sz="4" w:color="E1E8F1"/>
          <w:right w:val="single" w:sz="4" w:color="E1E8F1"/>
          <w:insideH w:val="single" w:sz="4" w:color="E1E8F1"/>
          <w:insideV w:val="single" w:sz="4" w:color="E1E8F1"/>
        </w:tblBorders>
      </w:tblPr>
      <w:tblGrid>
        <w:gridCol w:w="1701"/>
        <w:gridCol w:w="4422"/>
        <w:gridCol w:w="9014"/>
      </w:tblGrid>
      <w:tr>
        <w:trPr>
          <w:cantSplit/>
          <w:tblHeader/>
        </w:trPr>
        <w:tc>
          <w:tcPr>
            <w:tcW w:type="dxa" w:w="1701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100" w:type="dxa"/>
              <w:start w:w="140" w:type="dxa"/>
              <w:bottom w:w="100" w:type="dxa"/>
              <w:end w:w="140" w:type="dxa"/>
            </w:tcMar>
            <w:shd w:fill="0B1F3A"/>
          </w:tcPr>
          <w:p>
            <w:pPr>
              <w:spacing w:after="0" w:line="264" w:lineRule="auto"/>
            </w:pPr>
            <w:r>
              <w:rPr>
                <w:rFonts w:ascii="Inter" w:hAnsi="Inter"/>
                <w:b/>
                <w:color w:val="FFFFFF"/>
                <w:sz w:val="19"/>
              </w:rPr>
              <w:t>Formaat</w:t>
            </w:r>
          </w:p>
        </w:tc>
        <w:tc>
          <w:tcPr>
            <w:tcW w:type="dxa" w:w="4422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100" w:type="dxa"/>
              <w:start w:w="140" w:type="dxa"/>
              <w:bottom w:w="100" w:type="dxa"/>
              <w:end w:w="140" w:type="dxa"/>
            </w:tcMar>
            <w:shd w:fill="0B1F3A"/>
          </w:tcPr>
          <w:p>
            <w:pPr>
              <w:spacing w:after="0" w:line="264" w:lineRule="auto"/>
            </w:pPr>
            <w:r>
              <w:rPr>
                <w:rFonts w:ascii="Inter" w:hAnsi="Inter"/>
                <w:b/>
                <w:color w:val="FFFFFF"/>
                <w:sz w:val="19"/>
              </w:rPr>
              <w:t>Eigenschap</w:t>
            </w:r>
          </w:p>
        </w:tc>
        <w:tc>
          <w:tcPr>
            <w:tcW w:type="dxa" w:w="9014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100" w:type="dxa"/>
              <w:start w:w="140" w:type="dxa"/>
              <w:bottom w:w="100" w:type="dxa"/>
              <w:end w:w="140" w:type="dxa"/>
            </w:tcMar>
            <w:shd w:fill="0B1F3A"/>
          </w:tcPr>
          <w:p>
            <w:pPr>
              <w:spacing w:after="0" w:line="264" w:lineRule="auto"/>
            </w:pPr>
            <w:r>
              <w:rPr>
                <w:rFonts w:ascii="Inter" w:hAnsi="Inter"/>
                <w:b/>
                <w:color w:val="FFFFFF"/>
                <w:sz w:val="19"/>
              </w:rPr>
              <w:t>Gebruik / aandachtspunt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pPr>
              <w:spacing w:after="0" w:line="264" w:lineRule="auto"/>
            </w:pPr>
            <w:r>
              <w:rPr>
                <w:rFonts w:ascii="Inter" w:hAnsi="Inter"/>
                <w:b/>
                <w:color w:val="0B1F3A"/>
                <w:sz w:val="19"/>
              </w:rPr>
              <w:t>SVG</w:t>
            </w:r>
          </w:p>
        </w:tc>
        <w:tc>
          <w:tcPr>
            <w:tcW w:type="dxa" w:w="4422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B1F3A"/>
                <w:sz w:val="19"/>
              </w:rPr>
              <w:t>Vector-master; tekst in contouren</w:t>
            </w:r>
          </w:p>
        </w:tc>
        <w:tc>
          <w:tcPr>
            <w:tcW w:type="dxa" w:w="9014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B1F3A"/>
                <w:sz w:val="19"/>
              </w:rPr>
              <w:t>Schaalbaar bronbestand voor web en vormgeving. Geen ingesloten PNG of ander rasterbeeld.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100" w:type="dxa"/>
              <w:start w:w="140" w:type="dxa"/>
              <w:bottom w:w="100" w:type="dxa"/>
              <w:end w:w="140" w:type="dxa"/>
            </w:tcMar>
            <w:shd w:fill="F7FAFE"/>
          </w:tcPr>
          <w:p>
            <w:pPr>
              <w:spacing w:after="0" w:line="264" w:lineRule="auto"/>
            </w:pPr>
            <w:r>
              <w:rPr>
                <w:rFonts w:ascii="Inter" w:hAnsi="Inter"/>
                <w:b/>
                <w:color w:val="0B1F3A"/>
                <w:sz w:val="19"/>
              </w:rPr>
              <w:t>PDF</w:t>
            </w:r>
          </w:p>
        </w:tc>
        <w:tc>
          <w:tcPr>
            <w:tcW w:type="dxa" w:w="4422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100" w:type="dxa"/>
              <w:start w:w="140" w:type="dxa"/>
              <w:bottom w:w="100" w:type="dxa"/>
              <w:end w:w="140" w:type="dxa"/>
            </w:tcMar>
            <w:shd w:fill="F7FAFE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B1F3A"/>
                <w:sz w:val="19"/>
              </w:rPr>
              <w:t>Vector; contourletters</w:t>
            </w:r>
          </w:p>
        </w:tc>
        <w:tc>
          <w:tcPr>
            <w:tcW w:type="dxa" w:w="9014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100" w:type="dxa"/>
              <w:start w:w="140" w:type="dxa"/>
              <w:bottom w:w="100" w:type="dxa"/>
              <w:end w:w="140" w:type="dxa"/>
            </w:tcMar>
            <w:shd w:fill="F7FAFE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B1F3A"/>
                <w:sz w:val="19"/>
              </w:rPr>
              <w:t>Uitwisseling en plaatsing in opmaaksoftware. Witte uitvoeringen hebben een transparante achtergrond.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pPr>
              <w:spacing w:after="0" w:line="264" w:lineRule="auto"/>
            </w:pPr>
            <w:r>
              <w:rPr>
                <w:rFonts w:ascii="Inter" w:hAnsi="Inter"/>
                <w:b/>
                <w:color w:val="0B1F3A"/>
                <w:sz w:val="19"/>
              </w:rPr>
              <w:t>EPS</w:t>
            </w:r>
          </w:p>
        </w:tc>
        <w:tc>
          <w:tcPr>
            <w:tcW w:type="dxa" w:w="4422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B1F3A"/>
                <w:sz w:val="19"/>
              </w:rPr>
              <w:t>Vector; contourletters</w:t>
            </w:r>
          </w:p>
        </w:tc>
        <w:tc>
          <w:tcPr>
            <w:tcW w:type="dxa" w:w="9014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B1F3A"/>
                <w:sz w:val="19"/>
              </w:rPr>
              <w:t>Voor workflows die EPS vereisen. Ook de kleurverlopen zijn vector-shadings.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100" w:type="dxa"/>
              <w:start w:w="140" w:type="dxa"/>
              <w:bottom w:w="100" w:type="dxa"/>
              <w:end w:w="140" w:type="dxa"/>
            </w:tcMar>
            <w:shd w:fill="F7FAFE"/>
          </w:tcPr>
          <w:p>
            <w:pPr>
              <w:spacing w:after="0" w:line="264" w:lineRule="auto"/>
            </w:pPr>
            <w:r>
              <w:rPr>
                <w:rFonts w:ascii="Inter" w:hAnsi="Inter"/>
                <w:b/>
                <w:color w:val="0B1F3A"/>
                <w:sz w:val="19"/>
              </w:rPr>
              <w:t>PNG / WebP</w:t>
            </w:r>
          </w:p>
        </w:tc>
        <w:tc>
          <w:tcPr>
            <w:tcW w:type="dxa" w:w="4422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100" w:type="dxa"/>
              <w:start w:w="140" w:type="dxa"/>
              <w:bottom w:w="100" w:type="dxa"/>
              <w:end w:w="140" w:type="dxa"/>
            </w:tcMar>
            <w:shd w:fill="F7FAFE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B1F3A"/>
                <w:sz w:val="19"/>
              </w:rPr>
              <w:t>Transparant; 512, 1024 en 2048 px breed</w:t>
            </w:r>
          </w:p>
        </w:tc>
        <w:tc>
          <w:tcPr>
            <w:tcW w:type="dxa" w:w="9014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100" w:type="dxa"/>
              <w:start w:w="140" w:type="dxa"/>
              <w:bottom w:w="100" w:type="dxa"/>
              <w:end w:w="140" w:type="dxa"/>
            </w:tcMar>
            <w:shd w:fill="F7FAFE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B1F3A"/>
                <w:sz w:val="19"/>
              </w:rPr>
              <w:t>Export rechtstreeks uit het SVG-masterbestand; geen vergroting van de aangeleverde PNG.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pPr>
              <w:spacing w:after="0" w:line="264" w:lineRule="auto"/>
            </w:pPr>
            <w:r>
              <w:rPr>
                <w:rFonts w:ascii="Inter" w:hAnsi="Inter"/>
                <w:b/>
                <w:color w:val="0B1F3A"/>
                <w:sz w:val="19"/>
              </w:rPr>
              <w:t>JPG</w:t>
            </w:r>
          </w:p>
        </w:tc>
        <w:tc>
          <w:tcPr>
            <w:tcW w:type="dxa" w:w="4422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B1F3A"/>
                <w:sz w:val="19"/>
              </w:rPr>
              <w:t>512, 1024 en 2048 px breed</w:t>
            </w:r>
          </w:p>
        </w:tc>
        <w:tc>
          <w:tcPr>
            <w:tcW w:type="dxa" w:w="9014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B1F3A"/>
                <w:sz w:val="19"/>
              </w:rPr>
              <w:t>Witte achtergrond; op_donker en mono_wit zijn op navy geplaatst. JPG ondersteunt geen transparantie.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100" w:type="dxa"/>
              <w:start w:w="140" w:type="dxa"/>
              <w:bottom w:w="100" w:type="dxa"/>
              <w:end w:w="140" w:type="dxa"/>
            </w:tcMar>
            <w:shd w:fill="F7FAFE"/>
          </w:tcPr>
          <w:p>
            <w:pPr>
              <w:spacing w:after="0" w:line="264" w:lineRule="auto"/>
            </w:pPr>
            <w:r>
              <w:rPr>
                <w:rFonts w:ascii="Inter" w:hAnsi="Inter"/>
                <w:b/>
                <w:color w:val="0B1F3A"/>
                <w:sz w:val="19"/>
              </w:rPr>
              <w:t>ICO / PNG</w:t>
            </w:r>
          </w:p>
        </w:tc>
        <w:tc>
          <w:tcPr>
            <w:tcW w:type="dxa" w:w="4422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100" w:type="dxa"/>
              <w:start w:w="140" w:type="dxa"/>
              <w:bottom w:w="100" w:type="dxa"/>
              <w:end w:w="140" w:type="dxa"/>
            </w:tcMar>
            <w:shd w:fill="F7FAFE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B1F3A"/>
                <w:sz w:val="19"/>
              </w:rPr>
              <w:t>Faviconformaten</w:t>
            </w:r>
          </w:p>
        </w:tc>
        <w:tc>
          <w:tcPr>
            <w:tcW w:type="dxa" w:w="9014"/>
            <w:vAlign w:val="center"/>
            <w:tcMar>
              <w:top w:w="120" w:type="dxa"/>
              <w:start w:w="160" w:type="dxa"/>
              <w:bottom w:w="120" w:type="dxa"/>
              <w:end w:w="160" w:type="dxa"/>
            </w:tcMar>
            <w:tcMar>
              <w:top w:w="100" w:type="dxa"/>
              <w:start w:w="140" w:type="dxa"/>
              <w:bottom w:w="100" w:type="dxa"/>
              <w:end w:w="140" w:type="dxa"/>
            </w:tcMar>
            <w:shd w:fill="F7FAFE"/>
          </w:tcPr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0B1F3A"/>
                <w:sz w:val="19"/>
              </w:rPr>
              <w:t>ICO: 16, 24, 32, 48, 64, 128 en 256 px. Losse PNG: tevens 180, 192 en 512 px.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FFFFFF"/>
          <w:left w:val="nil" w:sz="4" w:color="FFFFFF"/>
          <w:bottom w:val="nil" w:sz="4" w:color="FFFFFF"/>
          <w:right w:val="nil" w:sz="4" w:color="FFFFFF"/>
          <w:insideH w:val="nil" w:sz="4" w:color="FFFFFF"/>
          <w:insideV w:val="nil" w:sz="4" w:color="FFFFFF"/>
        </w:tblBorders>
      </w:tblPr>
      <w:tblGrid>
        <w:gridCol w:w="7569"/>
        <w:gridCol w:w="7569"/>
      </w:tblGrid>
      <w:tr>
        <w:trPr>
          <w:cantSplit/>
        </w:trPr>
        <w:tc>
          <w:tcPr>
            <w:tcW w:type="dxa" w:w="7569"/>
            <w:vAlign w:val="top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pPr>
              <w:spacing w:after="120" w:line="264" w:lineRule="auto"/>
            </w:pPr>
            <w:r>
              <w:rPr>
                <w:rFonts w:ascii="Inter" w:hAnsi="Inter"/>
                <w:b/>
                <w:color w:val="2563EB"/>
                <w:sz w:val="22"/>
              </w:rPr>
              <w:t>Technisch gecontroleerd</w:t>
            </w:r>
          </w:p>
          <w:p>
            <w:pPr>
              <w:spacing w:after="120" w:line="264" w:lineRule="auto"/>
            </w:pPr>
            <w:r>
              <w:rPr>
                <w:rFonts w:ascii="Inter" w:hAnsi="Inter"/>
                <w:b w:val="0"/>
                <w:color w:val="0B1F3A"/>
                <w:sz w:val="20"/>
              </w:rPr>
              <w:t>In de gecombineerde set zijn 38 SVG-, 38 PDF- en 38 EPS-logobestanden gecontroleerd. Geen ingesloten rasterbeelden, geen tekstobjecten in de SVG-logo’s en geen fontresources in de PDF/EPS-logo’s.</w:t>
            </w:r>
          </w:p>
          <w:p>
            <w:pPr>
              <w:spacing w:after="120" w:line="264" w:lineRule="auto"/>
            </w:pPr>
            <w:r>
              <w:rPr>
                <w:rFonts w:ascii="Inter" w:hAnsi="Inter"/>
                <w:b w:val="0"/>
                <w:color w:val="0B1F3A"/>
                <w:sz w:val="20"/>
              </w:rPr>
              <w:t>228 PNG/WebP-exports zijn gecontroleerd op een alfakanaal. Het bestand vectorcontrole.json bevat de technische uitkomsten per vectorbestand.</w:t>
            </w:r>
          </w:p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475569"/>
                <w:sz w:val="20"/>
              </w:rPr>
              <w:t>Kleurruimte: RGB / sRGB. Dit is geen profielspecifieke CMYK- of Pantone-set en geen PDF/X-certificering. Laat drukwerk omzetten met het gewenste drukprofiel en een kleurproef.</w:t>
            </w:r>
          </w:p>
        </w:tc>
        <w:tc>
          <w:tcPr>
            <w:tcW w:type="dxa" w:w="7569"/>
            <w:vAlign w:val="top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pPr>
              <w:spacing w:after="120" w:line="264" w:lineRule="auto"/>
            </w:pPr>
            <w:r>
              <w:rPr>
                <w:rFonts w:ascii="Inter" w:hAnsi="Inter"/>
                <w:b/>
                <w:color w:val="2563EB"/>
                <w:sz w:val="22"/>
              </w:rPr>
              <w:t>Herkomst en status</w:t>
            </w:r>
          </w:p>
          <w:p>
            <w:pPr>
              <w:spacing w:after="120" w:line="264" w:lineRule="auto"/>
            </w:pPr>
            <w:r>
              <w:rPr>
                <w:rFonts w:ascii="Inter" w:hAnsi="Inter"/>
                <w:b w:val="0"/>
                <w:color w:val="0B1F3A"/>
                <w:sz w:val="20"/>
              </w:rPr>
              <w:t>Bronnen: NL_SALAR Software.png, NL_SALAR favicon.png, NL_SalarFusion .png en het grotere SalarFusion-ontwerp uit deze conversatie. Het palet en de merkrollen volgen de eerdere aangeleverde Word-richtlijn.</w:t>
            </w:r>
          </w:p>
          <w:p>
            <w:pPr>
              <w:spacing w:after="120" w:line="264" w:lineRule="auto"/>
            </w:pPr>
            <w:r>
              <w:rPr>
                <w:rFonts w:ascii="Inter" w:hAnsi="Inter"/>
                <w:b w:val="0"/>
                <w:color w:val="0B1F3A"/>
                <w:sz w:val="20"/>
              </w:rPr>
              <w:t>De vormen zijn opnieuw vastgelegd als vectorcontouren. Dit is een reconstructie, geen originele master van de oorspronkelijke ontwerper. Kleurverlopen, nieuwe samenstellingen en gebruiksmaten zijn voor deze set vastgelegd; kleine vormafwijkingen blijven mogelijk.</w:t>
            </w:r>
          </w:p>
          <w:p>
            <w:pPr>
              <w:spacing w:after="0" w:line="264" w:lineRule="auto"/>
            </w:pPr>
            <w:r>
              <w:rPr>
                <w:rFonts w:ascii="Inter" w:hAnsi="Inter"/>
                <w:b w:val="0"/>
                <w:color w:val="475569"/>
                <w:sz w:val="18"/>
              </w:rPr>
              <w:t>De gedeelde Payroll Engine-vectorlink was niet uitleesbaar. Het aangeleverde huisstijlvoorbeeld en de beschreven bestandsset zijn gebruikt als referentie voor de opbouw, niet als gekopieerd logo.</w:t>
            </w:r>
          </w:p>
        </w:tc>
      </w:tr>
    </w:tbl>
    <w:p>
      <w:pPr>
        <w:spacing w:after="0" w:before="120" w:line="269" w:lineRule="auto"/>
      </w:pPr>
      <w:r>
        <w:rPr>
          <w:rFonts w:ascii="Inter" w:hAnsi="Inter"/>
          <w:b w:val="0"/>
          <w:color w:val="475569"/>
          <w:sz w:val="18"/>
        </w:rPr>
        <w:t>Mappen: 01_Vector / 02_Digitaal / 03_Voorbeelden / 04_Richtlijn. De voorbeeldbladen tonen licht, donker en klein gebruik. Gebruik na visueel akkoord deze vectorreconstructie als nieuwe master in plaats van de eerdere rasterexports.</w:t>
      </w:r>
    </w:p>
    <w:sectPr w:rsidR="00FC693F" w:rsidRPr="0006063C" w:rsidSect="00034616">
      <w:headerReference w:type="default" r:id="rId9"/>
      <w:footerReference w:type="default" r:id="rId10"/>
      <w:pgSz w:w="16838" w:h="11906" w:orient="landscape"/>
      <w:pgMar w:top="709" w:right="850" w:bottom="669" w:left="850" w:header="255" w:footer="25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7597" w:val="left"/>
        <w:tab w:pos="15137" w:val="right"/>
      </w:tabs>
      <w:spacing w:after="0"/>
    </w:pPr>
    <w:r>
      <w:rPr>
        <w:rFonts w:ascii="Inter" w:hAnsi="Inter"/>
        <w:b w:val="0"/>
        <w:color w:val="9AA3B8"/>
        <w:sz w:val="16"/>
      </w:rPr>
      <w:t>SALAR Software</w:t>
    </w:r>
    <w:r>
      <w:rPr>
        <w:rFonts w:ascii="Inter" w:hAnsi="Inter"/>
        <w:b w:val="0"/>
        <w:color w:val="9AA3B8"/>
        <w:sz w:val="16"/>
      </w:rPr>
      <w:tab/>
      <w:t>De Kracht van Eenvoud</w:t>
      <w:tab/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15137" w:val="right"/>
      </w:tabs>
      <w:spacing w:after="0"/>
    </w:pPr>
    <w:r>
      <w:rPr>
        <w:rFonts w:ascii="Inter" w:hAnsi="Inter"/>
        <w:b/>
        <w:color w:val="9AA3B8"/>
        <w:sz w:val="16"/>
      </w:rPr>
      <w:t>SALAR / HUISSTIJLRICHTLIJN</w:t>
    </w:r>
    <w:r>
      <w:rPr>
        <w:rFonts w:ascii="Inter" w:hAnsi="Inter"/>
        <w:b w:val="0"/>
        <w:color w:val="9AA3B8"/>
        <w:sz w:val="16"/>
      </w:rPr>
      <w:tab/>
      <w:t>VECTORSET 2.0 / 17 SEPTEMBER 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Inter" w:hAnsi="Inter"/>
      <w:color w:val="0B1F3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Inter" w:hAnsi="Inter"/>
      <w:b/>
      <w:bCs/>
      <w:color w:val="0B1F3A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Inter" w:hAnsi="Inter"/>
      <w:b/>
      <w:bCs/>
      <w:color w:val="0B1F3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Inter" w:hAnsi="Inter"/>
      <w:b/>
      <w:bCs/>
      <w:color w:val="0B1F3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jp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SALAR Software - Huisstijlrichtlijn / vectorreconstructie v2.0</dc:title>
  <dc:subject>Logo-opbouw, kleurcodes, typografie, vaste teksten en productievarianten</dc:subject>
  <dc:creator>SALAR Software</dc:creator>
  <cp:keywords>SALAR Software, SalarFusion, huisstijl, vector, logo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