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69" w:lineRule="auto"/>
      </w:pPr>
      <w:r>
        <w:rPr>
          <w:rFonts w:ascii="Inter" w:hAnsi="Inter"/>
          <w:b/>
          <w:color w:val="9AA3B8"/>
          <w:sz w:val="17"/>
        </w:rPr>
        <w:t>01 / PRODUCTMERK</w:t>
      </w:r>
    </w:p>
    <w:p>
      <w:pPr>
        <w:pStyle w:val="Heading1"/>
        <w:spacing w:after="120" w:before="0" w:line="269" w:lineRule="auto"/>
      </w:pPr>
      <w:r>
        <w:rPr>
          <w:rFonts w:ascii="Inter" w:hAnsi="Inter"/>
          <w:b/>
          <w:color w:val="0B1F3A"/>
          <w:sz w:val="48"/>
        </w:rPr>
        <w:t>SalarFusion</w:t>
      </w:r>
    </w:p>
    <w:p>
      <w:pPr>
        <w:spacing w:after="140" w:before="0" w:line="269" w:lineRule="auto"/>
      </w:pPr>
      <w:r>
        <w:rPr>
          <w:rFonts w:ascii="Inter" w:hAnsi="Inter"/>
          <w:b w:val="0"/>
          <w:color w:val="475569"/>
          <w:sz w:val="21"/>
        </w:rPr>
        <w:t>Het productmerk voor salarisverwerking. Het verbindingssymbool blijft de eigen visuele drager.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9468"/>
        <w:gridCol w:w="5669"/>
      </w:tblGrid>
      <w:tr>
        <w:trPr>
          <w:cantSplit/>
        </w:trPr>
        <w:tc>
          <w:tcPr>
            <w:tcW w:type="dxa" w:w="9468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96000" cy="1349947"/>
                  <wp:docPr id="1" name="Picture 1" descr="SalarFusion hoofdlogo met payoff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Fusion_hoofdlogo_op_licht_2048px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6000" cy="13499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70" w:type="dxa"/>
              <w:start w:w="80" w:type="dxa"/>
              <w:bottom w:w="70" w:type="dxa"/>
              <w:end w:w="80" w:type="dxa"/>
            </w:tcMar>
            <w:shd w:fill="EAF4FF"/>
            <w:tcMar>
              <w:top w:w="200" w:type="dxa"/>
              <w:start w:w="220" w:type="dxa"/>
              <w:bottom w:w="200" w:type="dxa"/>
              <w:end w:w="220" w:type="dxa"/>
            </w:tcMar>
          </w:tcPr>
          <w:p>
            <w:pPr>
              <w:spacing w:after="140" w:line="264" w:lineRule="auto"/>
            </w:pPr>
            <w:r>
              <w:rPr>
                <w:rFonts w:ascii="Inter" w:hAnsi="Inter"/>
                <w:b/>
                <w:color w:val="0B1F3A"/>
                <w:sz w:val="22"/>
              </w:rPr>
              <w:t>Vaste visuele elementen</w:t>
            </w:r>
          </w:p>
          <w:p>
            <w:pPr>
              <w:spacing w:after="14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Het tweedelige verbindingssymbool in navy en blauw/cyaan, naast het aangeleverde woordbeeld.</w:t>
            </w:r>
          </w:p>
          <w:p>
            <w:pPr>
              <w:spacing w:after="14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De vorm en onderkast van het woordmerk blijven behouden. In lopende tekst schrijven we SalarFusion.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De payoff luidt exact: Salarisverwerking met De Kracht van Eenvoud!</w:t>
            </w:r>
          </w:p>
        </w:tc>
      </w:tr>
    </w:tbl>
    <w:p>
      <w:pPr>
        <w:pStyle w:val="Heading2"/>
        <w:spacing w:after="100" w:before="120" w:line="269" w:lineRule="auto"/>
      </w:pPr>
      <w:r>
        <w:rPr>
          <w:rFonts w:ascii="Inter" w:hAnsi="Inter"/>
          <w:b/>
          <w:color w:val="2563EB"/>
          <w:sz w:val="24"/>
        </w:rPr>
        <w:t>Varianten voor dagelijks gebruik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5046"/>
        <w:gridCol w:w="5046"/>
        <w:gridCol w:w="5046"/>
      </w:tblGrid>
      <w:tr>
        <w:trPr>
          <w:cantSplit/>
        </w:trPr>
        <w:tc>
          <w:tcPr>
            <w:tcW w:type="dxa" w:w="5046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4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41999" cy="708512"/>
                  <wp:docPr id="2" name="Picture 2" descr="SalarFusion Compact / zonder payoff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Fusion_compact_op_licht_2048px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999" cy="7085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/>
              <w:jc w:val="center"/>
            </w:pPr>
            <w:r>
              <w:rPr>
                <w:rFonts w:ascii="Inter" w:hAnsi="Inter"/>
                <w:b w:val="0"/>
                <w:color w:val="475569"/>
                <w:sz w:val="18"/>
              </w:rPr>
              <w:t>Compact / zonder payoff</w:t>
            </w:r>
          </w:p>
        </w:tc>
        <w:tc>
          <w:tcPr>
            <w:tcW w:type="dxa" w:w="5046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4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41999" cy="708512"/>
                  <wp:docPr id="3" name="Picture 3" descr="SalarFusion Licht logo / donkere ondergron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Fusion_compact_op_donker_2048px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999" cy="7085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/>
              <w:jc w:val="center"/>
            </w:pPr>
            <w:r>
              <w:rPr>
                <w:rFonts w:ascii="Inter" w:hAnsi="Inter"/>
                <w:b w:val="0"/>
                <w:color w:val="475569"/>
                <w:sz w:val="18"/>
              </w:rPr>
              <w:t>Licht logo / donkere ondergrond</w:t>
            </w:r>
          </w:p>
        </w:tc>
        <w:tc>
          <w:tcPr>
            <w:tcW w:type="dxa" w:w="5046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4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41999" cy="708512"/>
                  <wp:docPr id="4" name="Picture 4" descr="SalarFusion Eenkleurig / navy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Fusion_compact_mono_navy_2048px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999" cy="7085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/>
              <w:jc w:val="center"/>
            </w:pPr>
            <w:r>
              <w:rPr>
                <w:rFonts w:ascii="Inter" w:hAnsi="Inter"/>
                <w:b w:val="0"/>
                <w:color w:val="475569"/>
                <w:sz w:val="18"/>
              </w:rPr>
              <w:t>Eenkleurig / navy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2891"/>
        <w:gridCol w:w="2891"/>
        <w:gridCol w:w="9354"/>
      </w:tblGrid>
      <w:tr>
        <w:trPr>
          <w:cantSplit/>
        </w:trPr>
        <w:tc>
          <w:tcPr>
            <w:tcW w:type="dxa" w:w="289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708750"/>
                  <wp:docPr id="5" name="Picture 5" descr="SalarFusion los beeldme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Fusion_beeldmerk_op_licht_2048px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08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9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54000" cy="954000"/>
                  <wp:docPr id="6" name="Picture 6" descr="SalarFusion appico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Fusion_appicoon_op_licht_2048px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95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0B1F3A"/>
                <w:sz w:val="22"/>
              </w:rPr>
              <w:t>Eenzelfde familie, een eigen herkenning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De samenhang met SALAR Payroll Engine zit in het navy/blauwe palet, Inter als communicatietypografie en rustige toepassingen. Het corporate merk en het product krijgen niet hetzelfde beeldmerk.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475569"/>
                <w:sz w:val="21"/>
              </w:rPr>
              <w:t>Ook opgenomen: een gestapelde uitvoering, een producttegel, monochrome versies in navy, zwart en wit, en faviconbestanden.</w:t>
            </w:r>
          </w:p>
        </w:tc>
      </w:tr>
    </w:tbl>
    <w:p>
      <w:pPr>
        <w:spacing w:after="0" w:before="60" w:line="269" w:lineRule="auto"/>
      </w:pPr>
      <w:r>
        <w:rPr>
          <w:rFonts w:ascii="Inter" w:hAnsi="Inter"/>
          <w:b w:val="0"/>
          <w:color w:val="9AA3B8"/>
          <w:sz w:val="17"/>
        </w:rPr>
        <w:t>Status: vectorreconstructie op basis van de aangeleverde beelden. Nieuwe samenstellingen en genormaliseerde kleurverlopen zijn in deze richtlijn vastgelegd.</w:t>
      </w:r>
    </w:p>
    <w:p>
      <w:pPr>
        <w:pageBreakBefore/>
        <w:spacing w:after="80" w:before="0" w:line="269" w:lineRule="auto"/>
      </w:pPr>
      <w:r>
        <w:rPr>
          <w:rFonts w:ascii="Inter" w:hAnsi="Inter"/>
          <w:b/>
          <w:color w:val="9AA3B8"/>
          <w:sz w:val="17"/>
        </w:rPr>
        <w:t>02 / GEZAMENLIJKE BASIS</w:t>
      </w:r>
    </w:p>
    <w:p>
      <w:pPr>
        <w:pStyle w:val="Heading1"/>
        <w:spacing w:after="120" w:before="0" w:line="269" w:lineRule="auto"/>
      </w:pPr>
      <w:r>
        <w:rPr>
          <w:rFonts w:ascii="Inter" w:hAnsi="Inter"/>
          <w:b/>
          <w:color w:val="0B1F3A"/>
          <w:sz w:val="48"/>
        </w:rPr>
        <w:t>Kleur &amp; typografie</w:t>
      </w:r>
    </w:p>
    <w:p>
      <w:pPr>
        <w:spacing w:after="100" w:before="0" w:line="269" w:lineRule="auto"/>
      </w:pPr>
      <w:r>
        <w:rPr>
          <w:rFonts w:ascii="Inter" w:hAnsi="Inter"/>
          <w:b w:val="0"/>
          <w:color w:val="475569"/>
          <w:sz w:val="21"/>
        </w:rPr>
        <w:t>Het vastgelegde palet uit de eerdere SALAR-richtlijn is leidend. De kleuren zijn niet op het oog uit een schermvoorbeeld geschat.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3027"/>
        <w:gridCol w:w="3027"/>
        <w:gridCol w:w="3027"/>
        <w:gridCol w:w="3027"/>
        <w:gridCol w:w="3027"/>
      </w:tblGrid>
      <w:tr>
        <w:trPr>
          <w:cantSplit/>
        </w:trPr>
        <w:tc>
          <w:tcPr>
            <w:tcW w:type="dxa" w:w="302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  <w:tcMar>
              <w:top w:w="240" w:type="dxa"/>
              <w:start w:w="180" w:type="dxa"/>
              <w:bottom w:w="240" w:type="dxa"/>
              <w:end w:w="1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FFFFFF"/>
                <w:sz w:val="22"/>
              </w:rPr>
              <w:t>SALAR Navy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FFFFFF"/>
                <w:sz w:val="24"/>
              </w:rPr>
              <w:t>#0B1F3A</w:t>
            </w:r>
          </w:p>
        </w:tc>
        <w:tc>
          <w:tcPr>
            <w:tcW w:type="dxa" w:w="302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2563EB"/>
            <w:tcMar>
              <w:top w:w="240" w:type="dxa"/>
              <w:start w:w="180" w:type="dxa"/>
              <w:bottom w:w="240" w:type="dxa"/>
              <w:end w:w="1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FFFFFF"/>
                <w:sz w:val="22"/>
              </w:rPr>
              <w:t>SALAR Blue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FFFFFF"/>
                <w:sz w:val="24"/>
              </w:rPr>
              <w:t>#2563EB</w:t>
            </w:r>
          </w:p>
        </w:tc>
        <w:tc>
          <w:tcPr>
            <w:tcW w:type="dxa" w:w="302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6B6D4"/>
            <w:tcMar>
              <w:top w:w="240" w:type="dxa"/>
              <w:start w:w="180" w:type="dxa"/>
              <w:bottom w:w="240" w:type="dxa"/>
              <w:end w:w="1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FFFFFF"/>
                <w:sz w:val="22"/>
              </w:rPr>
              <w:t>SALAR Cyan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FFFFFF"/>
                <w:sz w:val="24"/>
              </w:rPr>
              <w:t>#06B6D4</w:t>
            </w:r>
          </w:p>
        </w:tc>
        <w:tc>
          <w:tcPr>
            <w:tcW w:type="dxa" w:w="302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  <w:tcMar>
              <w:top w:w="240" w:type="dxa"/>
              <w:start w:w="180" w:type="dxa"/>
              <w:bottom w:w="240" w:type="dxa"/>
              <w:end w:w="1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0B1F3A"/>
                <w:sz w:val="22"/>
              </w:rPr>
              <w:t>SALAR Light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4"/>
              </w:rPr>
              <w:t>#EAF4FF</w:t>
            </w:r>
          </w:p>
        </w:tc>
        <w:tc>
          <w:tcPr>
            <w:tcW w:type="dxa" w:w="302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9AA3B8"/>
            <w:tcMar>
              <w:top w:w="240" w:type="dxa"/>
              <w:start w:w="180" w:type="dxa"/>
              <w:bottom w:w="240" w:type="dxa"/>
              <w:end w:w="1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0B1F3A"/>
                <w:sz w:val="22"/>
              </w:rPr>
              <w:t>SALAR Gray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4"/>
              </w:rPr>
              <w:t>#9AA3B8</w:t>
            </w:r>
          </w:p>
        </w:tc>
      </w:tr>
    </w:tbl>
    <w:p>
      <w:pPr>
        <w:pStyle w:val="Heading2"/>
        <w:spacing w:after="100" w:before="120" w:line="269" w:lineRule="auto"/>
      </w:pPr>
      <w:r>
        <w:rPr>
          <w:rFonts w:ascii="Inter" w:hAnsi="Inter"/>
          <w:b/>
          <w:color w:val="2563EB"/>
          <w:sz w:val="24"/>
        </w:rPr>
        <w:t>Kleurcodes en rolverdeling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  <w:tblBorders>
          <w:top w:val="single" w:sz="4" w:color="E1E8F1"/>
          <w:left w:val="single" w:sz="4" w:color="E1E8F1"/>
          <w:bottom w:val="single" w:sz="4" w:color="E1E8F1"/>
          <w:right w:val="single" w:sz="4" w:color="E1E8F1"/>
          <w:insideH w:val="single" w:sz="4" w:color="E1E8F1"/>
          <w:insideV w:val="single" w:sz="4" w:color="E1E8F1"/>
        </w:tblBorders>
      </w:tblPr>
      <w:tblGrid>
        <w:gridCol w:w="2381"/>
        <w:gridCol w:w="1814"/>
        <w:gridCol w:w="2154"/>
        <w:gridCol w:w="8787"/>
      </w:tblGrid>
      <w:tr>
        <w:trPr>
          <w:cantSplit/>
          <w:tblHeader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Kleur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HEX / sRGB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RGB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Gebruik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SALAR Navy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#0B1F3A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11, 31, 58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Basis van de woordmerken, hoofdtekst en donkere achtergronden.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SALAR Blue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#2563EB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37, 99, 235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Primair blauw voor productaccenten en het begin van het kleurverloop.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SALAR Cyan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#06B6D4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6, 182, 212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Secundair accent en het lichte uiteinde van kleurverlopen.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SALAR Light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#EAF4FF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234, 244, 255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Rustige achtergrondvlakken en de cirkel in producttegels.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SALAR Gray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#9AA3B8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154, 163, 184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Ondersteunende grafiek, metadata en secundaire accenten; niet voor kleine hoofdtekst.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7569"/>
        <w:gridCol w:w="7569"/>
      </w:tblGrid>
      <w:tr>
        <w:trPr>
          <w:cantSplit/>
        </w:trPr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Kleurverlopen in deze reconstructie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Woordmerkaccent: horizontaal, #2563EB naar #06B6D4. S-icoon: diagonaal van linksboven naar rechtsonder, #0B1F3A (0%), #2563EB (52%), #06B6D4 (100%).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Verbindingssymbool: dezelfde diagonale richting; #2563EB op 0% en 55%, #06B6D4 op 100%. Monochrome uitvoeringen hebben geen verloop.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475569"/>
                <w:sz w:val="18"/>
              </w:rPr>
              <w:t>Wit #FFFFFF en zwart #000000 zijn technische uitvoeringskleuren. Tekstgrijs #475569 wordt alleen voor leesbare documenttekst gebruikt.</w:t>
            </w:r>
          </w:p>
        </w:tc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Inter voor communicatie</w:t>
            </w:r>
          </w:p>
          <w:p>
            <w:pPr>
              <w:spacing w:after="140" w:line="264" w:lineRule="auto"/>
            </w:pPr>
            <w:r>
              <w:rPr>
                <w:rFonts w:ascii="Inter" w:hAnsi="Inter"/>
                <w:b w:val="0"/>
                <w:color w:val="0B1F3A"/>
                <w:sz w:val="28"/>
              </w:rPr>
              <w:t>Regular / Medium / Semibold / Bold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Gebruik Inter voor interfaces, web, presentaties en documenten. Arial is de terugvaloptie voor e-mails of systemen zonder Inter.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Het logo is geen getypte Inter-tekst: de aangeleverde woordmerkletters zijn als contouren behouden. De payoffs zijn met Inter opnieuw gezet en daarna naar contouren omgezet.</w:t>
            </w:r>
          </w:p>
        </w:tc>
      </w:tr>
    </w:tbl>
    <w:p>
      <w:pPr>
        <w:pageBreakBefore/>
        <w:spacing w:after="80" w:before="0" w:line="269" w:lineRule="auto"/>
      </w:pPr>
      <w:r>
        <w:rPr>
          <w:rFonts w:ascii="Inter" w:hAnsi="Inter"/>
          <w:b/>
          <w:color w:val="9AA3B8"/>
          <w:sz w:val="17"/>
        </w:rPr>
        <w:t>03 / TEKST EN TOEPASSING</w:t>
      </w:r>
    </w:p>
    <w:p>
      <w:pPr>
        <w:pStyle w:val="Heading1"/>
        <w:spacing w:after="120" w:before="0" w:line="269" w:lineRule="auto"/>
      </w:pPr>
      <w:r>
        <w:rPr>
          <w:rFonts w:ascii="Inter" w:hAnsi="Inter"/>
          <w:b/>
          <w:color w:val="0B1F3A"/>
          <w:sz w:val="48"/>
        </w:rPr>
        <w:t>Vaste teksten &amp; gebruiksregels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  <w:tblBorders>
          <w:top w:val="single" w:sz="4" w:color="E1E8F1"/>
          <w:left w:val="single" w:sz="4" w:color="E1E8F1"/>
          <w:bottom w:val="single" w:sz="4" w:color="E1E8F1"/>
          <w:right w:val="single" w:sz="4" w:color="E1E8F1"/>
          <w:insideH w:val="single" w:sz="4" w:color="E1E8F1"/>
          <w:insideV w:val="single" w:sz="4" w:color="E1E8F1"/>
        </w:tblBorders>
      </w:tblPr>
      <w:tblGrid>
        <w:gridCol w:w="2835"/>
        <w:gridCol w:w="12302"/>
      </w:tblGrid>
      <w:tr>
        <w:trPr>
          <w:cantSplit/>
        </w:trPr>
        <w:tc>
          <w:tcPr>
            <w:tcW w:type="dxa" w:w="2835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Onderdeel</w:t>
            </w:r>
          </w:p>
        </w:tc>
        <w:tc>
          <w:tcPr>
            <w:tcW w:type="dxa" w:w="1230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20"/>
              </w:rPr>
              <w:t>SalarFusion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Merknaam in tekst</w:t>
            </w:r>
          </w:p>
        </w:tc>
        <w:tc>
          <w:tcPr>
            <w:tcW w:type="dxa" w:w="1230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SalarFusion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Visueel woordmerk</w:t>
            </w:r>
          </w:p>
        </w:tc>
        <w:tc>
          <w:tcPr>
            <w:tcW w:type="dxa" w:w="1230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salarfusion / bestaande onderkast behouden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Payoff in deze set</w:t>
            </w:r>
          </w:p>
        </w:tc>
        <w:tc>
          <w:tcPr>
            <w:tcW w:type="dxa" w:w="1230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Salarisverwerking met De Kracht van Eenvoud!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Merkrol</w:t>
            </w:r>
          </w:p>
        </w:tc>
        <w:tc>
          <w:tcPr>
            <w:tcW w:type="dxa" w:w="1230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Productmerk binnen de SALAR-familie</w:t>
            </w:r>
          </w:p>
        </w:tc>
      </w:tr>
    </w:tbl>
    <w:p>
      <w:pPr>
        <w:spacing w:after="100" w:before="120" w:line="269" w:lineRule="auto"/>
      </w:pPr>
      <w:r>
        <w:rPr>
          <w:rFonts w:ascii="Inter" w:hAnsi="Inter"/>
          <w:b w:val="0"/>
          <w:color w:val="475569"/>
          <w:sz w:val="20"/>
        </w:rPr>
        <w:t>De Kracht van Eenvoud blijft de centrale merkbelofte. De Payroll Engine-payoff wordt niet naar de andere merken gekopieerd. Er zijn geen nieuwe claims over functionaliteit, koppelingen, veiligheid of prijs toegevoegd.</w:t>
      </w:r>
    </w:p>
    <w:p>
      <w:pPr>
        <w:pStyle w:val="Heading2"/>
        <w:spacing w:after="100" w:before="120" w:line="269" w:lineRule="auto"/>
      </w:pPr>
      <w:r>
        <w:rPr>
          <w:rFonts w:ascii="Inter" w:hAnsi="Inter"/>
          <w:b/>
          <w:color w:val="2563EB"/>
          <w:sz w:val="24"/>
        </w:rPr>
        <w:t>Vrije ruimte en minimumgebruik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  <w:tblBorders>
          <w:top w:val="single" w:sz="4" w:color="E1E8F1"/>
          <w:left w:val="single" w:sz="4" w:color="E1E8F1"/>
          <w:bottom w:val="single" w:sz="4" w:color="E1E8F1"/>
          <w:right w:val="single" w:sz="4" w:color="E1E8F1"/>
          <w:insideH w:val="single" w:sz="4" w:color="E1E8F1"/>
          <w:insideV w:val="single" w:sz="4" w:color="E1E8F1"/>
        </w:tblBorders>
      </w:tblPr>
      <w:tblGrid>
        <w:gridCol w:w="2324"/>
        <w:gridCol w:w="5896"/>
        <w:gridCol w:w="6917"/>
      </w:tblGrid>
      <w:tr>
        <w:trPr>
          <w:cantSplit/>
        </w:trPr>
        <w:tc>
          <w:tcPr>
            <w:tcW w:type="dxa" w:w="232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Merk</w:t>
            </w:r>
          </w:p>
        </w:tc>
        <w:tc>
          <w:tcPr>
            <w:tcW w:type="dxa" w:w="5896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Vrije ruimte rondom</w:t>
            </w:r>
          </w:p>
        </w:tc>
        <w:tc>
          <w:tcPr>
            <w:tcW w:type="dxa" w:w="691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Praktische startwaarden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SalarFusion</w:t>
            </w:r>
          </w:p>
        </w:tc>
        <w:tc>
          <w:tcPr>
            <w:tcW w:type="dxa" w:w="5896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Minimaal een kwart van de hoogte van het verbindingssymbool. Gebruik dezelfde ruimte aan alle zijden.</w:t>
            </w:r>
          </w:p>
        </w:tc>
        <w:tc>
          <w:tcPr>
            <w:tcW w:type="dxa" w:w="691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Met payoff: vanaf 640 px / 110 mm breed. Zonder payoff: vanaf 220 px / 40 mm.</w:t>
            </w:r>
          </w:p>
        </w:tc>
      </w:tr>
    </w:tbl>
    <w:p>
      <w:pPr>
        <w:spacing w:after="100" w:before="100" w:line="269" w:lineRule="auto"/>
      </w:pPr>
      <w:r>
        <w:rPr>
          <w:rFonts w:ascii="Inter" w:hAnsi="Inter"/>
          <w:b w:val="0"/>
          <w:color w:val="475569"/>
          <w:sz w:val="18"/>
        </w:rPr>
        <w:t>De minimumformaten zijn startwaarden voor deze reconstructie, geen universele leesbaarheidsgarantie. Controleer het eindformaat. Wordt de payoff te klein, gebruik dan de compacte versie. Favicons zijn apart beschikbaar vanaf 16 px.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7569"/>
        <w:gridCol w:w="7569"/>
      </w:tblGrid>
      <w:tr>
        <w:trPr>
          <w:cantSplit/>
        </w:trPr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Kies de juiste uitvoering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Op wit of licht: op_licht. Op navy: op_donker. Bij eenkleurige reproductie: mono_navy, mono_zwart of mono_wit. Gebruik een los symbool alleen als de merkcontext duidelijk is.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Gebruik de producttegel voor pakketkeuze of overzichten; gebruik deze niet als vervanging van het hoofdlogo.</w:t>
            </w:r>
          </w:p>
        </w:tc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Behoud de vaste vorm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Niet uitrekken, onderdelen verschuiven, letters vervangen of nieuwe schaduwen toevoegen. De beeldmerken van SALAR Software, SalarFusion en SALAR Payroll Engine zijn niet uitwisselbaar.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SalarFusion blijft zonder punt in de productnaam. De streep/punt van het corporate woordmerk is onderdeel van het logo, geen los te typen gelijkteken.</w:t>
            </w:r>
          </w:p>
        </w:tc>
      </w:tr>
    </w:tbl>
    <w:p>
      <w:pPr>
        <w:pageBreakBefore/>
        <w:spacing w:after="80" w:before="0" w:line="269" w:lineRule="auto"/>
      </w:pPr>
      <w:r>
        <w:rPr>
          <w:rFonts w:ascii="Inter" w:hAnsi="Inter"/>
          <w:b/>
          <w:color w:val="9AA3B8"/>
          <w:sz w:val="17"/>
        </w:rPr>
        <w:t>04 / OPLEVERING EN CONTROLE</w:t>
      </w:r>
    </w:p>
    <w:p>
      <w:pPr>
        <w:pStyle w:val="Heading1"/>
        <w:spacing w:after="120" w:before="0" w:line="269" w:lineRule="auto"/>
      </w:pPr>
      <w:r>
        <w:rPr>
          <w:rFonts w:ascii="Inter" w:hAnsi="Inter"/>
          <w:b/>
          <w:color w:val="0B1F3A"/>
          <w:sz w:val="48"/>
        </w:rPr>
        <w:t>Bestanden &amp; technische verantwoording</w:t>
      </w:r>
    </w:p>
    <w:p>
      <w:pPr>
        <w:spacing w:after="100" w:before="0" w:line="269" w:lineRule="auto"/>
      </w:pPr>
      <w:r>
        <w:rPr>
          <w:rFonts w:ascii="Inter" w:hAnsi="Inter"/>
          <w:b w:val="0"/>
          <w:color w:val="475569"/>
          <w:sz w:val="21"/>
        </w:rPr>
        <w:t>Elke merkmappenstructuur bevat 19 uitvoeringen: hoofdlogo, compact logo, gestapeld logo, los beeldmerk, app-icoon en producttegel, aangevuld met lichte, donkere en monochrome varianten.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  <w:tblBorders>
          <w:top w:val="single" w:sz="4" w:color="E1E8F1"/>
          <w:left w:val="single" w:sz="4" w:color="E1E8F1"/>
          <w:bottom w:val="single" w:sz="4" w:color="E1E8F1"/>
          <w:right w:val="single" w:sz="4" w:color="E1E8F1"/>
          <w:insideH w:val="single" w:sz="4" w:color="E1E8F1"/>
          <w:insideV w:val="single" w:sz="4" w:color="E1E8F1"/>
        </w:tblBorders>
      </w:tblPr>
      <w:tblGrid>
        <w:gridCol w:w="1701"/>
        <w:gridCol w:w="4422"/>
        <w:gridCol w:w="9014"/>
      </w:tblGrid>
      <w:tr>
        <w:trPr>
          <w:cantSplit/>
          <w:tblHeader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Formaat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Eigenschap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Gebruik / aandachtspunt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SVG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Vector-master; tekst in contouren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Schaalbaar bronbestand voor web en vormgeving. Geen ingesloten PNG of ander rasterbeeld.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PDF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Vector; contourletters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Uitwisseling en plaatsing in opmaaksoftware. Witte uitvoeringen hebben een transparante achtergrond.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EPS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Vector; contourletters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Voor workflows die EPS vereisen. Ook de kleurverlopen zijn vector-shadings.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PNG / WebP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Transparant; 512, 1024 en 2048 px breed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Export rechtstreeks uit het SVG-masterbestand; geen vergroting van de aangeleverde PNG.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JPG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512, 1024 en 2048 px breed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Witte achtergrond; op_donker en mono_wit zijn op navy geplaatst. JPG ondersteunt geen transparantie.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ICO / PNG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Faviconformaten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ICO: 16, 24, 32, 48, 64, 128 en 256 px. Losse PNG: tevens 180, 192 en 512 px.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7569"/>
        <w:gridCol w:w="7569"/>
      </w:tblGrid>
      <w:tr>
        <w:trPr>
          <w:cantSplit/>
        </w:trPr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Technisch gecontroleerd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In de gecombineerde set zijn 38 SVG-, 38 PDF- en 38 EPS-logobestanden gecontroleerd. Geen ingesloten rasterbeelden, geen tekstobjecten in de SVG-logo’s en geen fontresources in de PDF/EPS-logo’s.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228 PNG/WebP-exports zijn gecontroleerd op een alfakanaal. Het bestand vectorcontrole.json bevat de technische uitkomsten per vectorbestand.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475569"/>
                <w:sz w:val="20"/>
              </w:rPr>
              <w:t>Kleurruimte: RGB / sRGB. Dit is geen profielspecifieke CMYK- of Pantone-set en geen PDF/X-certificering. Laat drukwerk omzetten met het gewenste drukprofiel en een kleurproef.</w:t>
            </w:r>
          </w:p>
        </w:tc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Herkomst en status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Bronnen: NL_SALAR Software.png, NL_SALAR favicon.png, NL_SalarFusion .png en het grotere SalarFusion-ontwerp uit deze conversatie. Het palet en de merkrollen volgen de eerdere aangeleverde Word-richtlijn.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De vormen zijn opnieuw vastgelegd als vectorcontouren. Dit is een reconstructie, geen originele master van de oorspronkelijke ontwerper. Kleurverlopen, nieuwe samenstellingen en gebruiksmaten zijn voor deze set vastgelegd; kleine vormafwijkingen blijven mogelijk.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475569"/>
                <w:sz w:val="18"/>
              </w:rPr>
              <w:t>De gedeelde Payroll Engine-vectorlink was niet uitleesbaar. Het aangeleverde huisstijlvoorbeeld en de beschreven bestandsset zijn gebruikt als referentie voor de opbouw, niet als gekopieerd logo.</w:t>
            </w:r>
          </w:p>
        </w:tc>
      </w:tr>
    </w:tbl>
    <w:p>
      <w:pPr>
        <w:spacing w:after="0" w:before="120" w:line="269" w:lineRule="auto"/>
      </w:pPr>
      <w:r>
        <w:rPr>
          <w:rFonts w:ascii="Inter" w:hAnsi="Inter"/>
          <w:b w:val="0"/>
          <w:color w:val="475569"/>
          <w:sz w:val="18"/>
        </w:rPr>
        <w:t>Mappen: 01_Vector / 02_Digitaal / 03_Voorbeelden / 04_Richtlijn. De voorbeeldbladen tonen licht, donker en klein gebruik. Gebruik na visueel akkoord deze vectorreconstructie als nieuwe master in plaats van de eerdere rasterexports.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09" w:right="850" w:bottom="669" w:left="850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7597" w:val="left"/>
        <w:tab w:pos="15137" w:val="right"/>
      </w:tabs>
      <w:spacing w:after="0"/>
    </w:pPr>
    <w:r>
      <w:rPr>
        <w:rFonts w:ascii="Inter" w:hAnsi="Inter"/>
        <w:b w:val="0"/>
        <w:color w:val="9AA3B8"/>
        <w:sz w:val="16"/>
      </w:rPr>
      <w:t>SalarFusion</w:t>
    </w:r>
    <w:r>
      <w:rPr>
        <w:rFonts w:ascii="Inter" w:hAnsi="Inter"/>
        <w:b w:val="0"/>
        <w:color w:val="9AA3B8"/>
        <w:sz w:val="16"/>
      </w:rPr>
      <w:tab/>
      <w:t>De Kracht van Eenvoud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5137" w:val="right"/>
      </w:tabs>
      <w:spacing w:after="0"/>
    </w:pPr>
    <w:r>
      <w:rPr>
        <w:rFonts w:ascii="Inter" w:hAnsi="Inter"/>
        <w:b/>
        <w:color w:val="9AA3B8"/>
        <w:sz w:val="16"/>
      </w:rPr>
      <w:t>SALAR / HUISSTIJLRICHTLIJN</w:t>
    </w:r>
    <w:r>
      <w:rPr>
        <w:rFonts w:ascii="Inter" w:hAnsi="Inter"/>
        <w:b w:val="0"/>
        <w:color w:val="9AA3B8"/>
        <w:sz w:val="16"/>
      </w:rPr>
      <w:tab/>
      <w:t>VECTORSET 2.0 / 17 SEPTEMBER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Inter" w:hAnsi="Inter"/>
      <w:color w:val="0B1F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Inter" w:hAnsi="Inter"/>
      <w:b/>
      <w:bCs/>
      <w:color w:val="0B1F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Inter" w:hAnsi="Inter"/>
      <w:b/>
      <w:bCs/>
      <w:color w:val="0B1F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Inter" w:hAnsi="Inter"/>
      <w:b/>
      <w:bCs/>
      <w:color w:val="0B1F3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jp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SalarFusion - Huisstijlrichtlijn / vectorreconstructie v2.0</dc:title>
  <dc:subject>Logo-opbouw, kleurcodes, typografie, vaste teksten en productievarianten</dc:subject>
  <dc:creator>SALAR Software</dc:creator>
  <cp:keywords>SALAR Software, SalarFusion, huisstijl, vector, logo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